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3A1" w:rsidRDefault="009163A1" w:rsidP="009163A1">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743521" w:rsidRPr="00743521">
        <w:rPr>
          <w:rFonts w:eastAsia="宋体" w:cs="Arial"/>
          <w:b/>
          <w:noProof/>
          <w:sz w:val="24"/>
          <w:szCs w:val="24"/>
          <w:lang w:eastAsia="zh-CN"/>
        </w:rPr>
        <w:t>R4-2007234</w:t>
      </w:r>
    </w:p>
    <w:p w:rsidR="009163A1" w:rsidRDefault="009163A1" w:rsidP="009163A1">
      <w:pPr>
        <w:pStyle w:val="CRCoverPage"/>
        <w:outlineLvl w:val="0"/>
        <w:rPr>
          <w:b/>
          <w:noProof/>
          <w:sz w:val="24"/>
        </w:rPr>
      </w:pPr>
      <w:r>
        <w:rPr>
          <w:b/>
          <w:noProof/>
          <w:sz w:val="24"/>
        </w:rPr>
        <w:t>Electronic Meeting, 2</w:t>
      </w:r>
      <w:r w:rsidR="00AD529C">
        <w:rPr>
          <w:b/>
          <w:noProof/>
          <w:sz w:val="24"/>
        </w:rPr>
        <w:t>5 May - 5 June</w:t>
      </w:r>
      <w:r>
        <w:rPr>
          <w:b/>
          <w:noProof/>
          <w:sz w:val="24"/>
        </w:rPr>
        <w:t>, 2020</w:t>
      </w:r>
    </w:p>
    <w:p w:rsidR="009163A1"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40E2" w:rsidRPr="00AD59AA">
        <w:rPr>
          <w:rFonts w:ascii="Arial" w:hAnsi="Arial"/>
          <w:sz w:val="24"/>
          <w:lang w:val="en-US" w:eastAsia="zh-CN"/>
        </w:rPr>
        <w:t xml:space="preserve">Discussion on </w:t>
      </w:r>
      <w:r w:rsidR="00BF40E2">
        <w:rPr>
          <w:rFonts w:ascii="Arial" w:hAnsi="Arial"/>
          <w:sz w:val="24"/>
          <w:lang w:val="en-US" w:eastAsia="zh-CN"/>
        </w:rPr>
        <w:t xml:space="preserve">general issues for </w:t>
      </w:r>
      <w:r w:rsidR="00BF40E2" w:rsidRPr="00AD59AA">
        <w:rPr>
          <w:rFonts w:ascii="Arial" w:hAnsi="Arial"/>
          <w:sz w:val="24"/>
          <w:lang w:val="en-US" w:eastAsia="zh-CN"/>
        </w:rPr>
        <w:t>NR UE HST performance requirements</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sidR="00BF40E2">
        <w:rPr>
          <w:rFonts w:ascii="Arial" w:hAnsi="Arial"/>
          <w:sz w:val="24"/>
          <w:lang w:val="pt-BR"/>
        </w:rPr>
        <w:tab/>
        <w:t>6.17.2.1</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9163A1" w:rsidRPr="00AD59AA" w:rsidRDefault="009163A1" w:rsidP="009163A1">
      <w:pPr>
        <w:rPr>
          <w:lang w:val="en-US" w:eastAsia="zh-CN"/>
        </w:rPr>
      </w:pPr>
      <w:r w:rsidRPr="00AD59AA">
        <w:rPr>
          <w:lang w:eastAsia="zh-CN"/>
        </w:rPr>
        <w:t xml:space="preserve">During RAN4#94e meeting, way forward [1] for NR Rel-16 UE demodulation was approved. </w:t>
      </w:r>
      <w:r w:rsidRPr="00AD59AA">
        <w:rPr>
          <w:lang w:val="en-US" w:eastAsia="zh-CN"/>
        </w:rPr>
        <w:t xml:space="preserve">In this contribution, we share our views about the </w:t>
      </w:r>
      <w:r w:rsidR="009C60DE">
        <w:rPr>
          <w:lang w:val="en-US" w:eastAsia="zh-CN"/>
        </w:rPr>
        <w:t xml:space="preserve">general open issues for NR </w:t>
      </w:r>
      <w:r w:rsidRPr="00AD59AA">
        <w:rPr>
          <w:lang w:val="en-US" w:eastAsia="zh-CN"/>
        </w:rPr>
        <w:t xml:space="preserve">Rel-16 </w:t>
      </w:r>
      <w:r w:rsidR="009C60DE">
        <w:rPr>
          <w:lang w:val="en-US" w:eastAsia="zh-CN"/>
        </w:rPr>
        <w:t xml:space="preserve">UE </w:t>
      </w:r>
      <w:r w:rsidRPr="00AD59AA">
        <w:rPr>
          <w:lang w:val="en-US" w:eastAsia="zh-CN"/>
        </w:rPr>
        <w:t>HST</w:t>
      </w:r>
      <w:r w:rsidR="009C60DE">
        <w:rPr>
          <w:lang w:val="en-US" w:eastAsia="zh-CN"/>
        </w:rPr>
        <w:t xml:space="preserve"> performance requirements</w:t>
      </w:r>
      <w:r w:rsidRPr="00AD59AA">
        <w:rPr>
          <w:lang w:val="en-US" w:eastAsia="zh-CN"/>
        </w:rPr>
        <w:t>.</w:t>
      </w:r>
    </w:p>
    <w:p w:rsidR="009163A1" w:rsidRDefault="009163A1" w:rsidP="009163A1">
      <w:pPr>
        <w:pStyle w:val="1"/>
        <w:rPr>
          <w:lang w:val="en-US" w:eastAsia="zh-CN"/>
        </w:rPr>
      </w:pPr>
      <w:r>
        <w:rPr>
          <w:rFonts w:hint="eastAsia"/>
          <w:lang w:val="en-US" w:eastAsia="zh-CN"/>
        </w:rPr>
        <w:t>D</w:t>
      </w:r>
      <w:r>
        <w:rPr>
          <w:lang w:val="en-US" w:eastAsia="zh-CN"/>
        </w:rPr>
        <w:t>iscussion</w:t>
      </w:r>
    </w:p>
    <w:p w:rsidR="009163A1" w:rsidRDefault="00BF40E2" w:rsidP="00BF40E2">
      <w:pPr>
        <w:pStyle w:val="2"/>
        <w:rPr>
          <w:lang w:val="en-US" w:eastAsia="zh-CN"/>
        </w:rPr>
      </w:pPr>
      <w:r w:rsidRPr="00BF40E2">
        <w:rPr>
          <w:lang w:val="en-US" w:eastAsia="zh-CN"/>
        </w:rPr>
        <w:t>Applicability rule</w:t>
      </w:r>
    </w:p>
    <w:p w:rsidR="004D40B9" w:rsidRDefault="009C60DE" w:rsidP="00C53270">
      <w:pPr>
        <w:rPr>
          <w:lang w:val="en-US" w:eastAsia="zh-CN"/>
        </w:rPr>
      </w:pPr>
      <w:r>
        <w:rPr>
          <w:lang w:val="en-US" w:eastAsia="zh-CN"/>
        </w:rPr>
        <w:t>There are lots of discussion [2] during RAN4#94-e-Bis about the test applicability rule for HST, but no agreements were reached with the following open issues</w:t>
      </w:r>
      <w:r>
        <w:rPr>
          <w:rFonts w:hint="eastAsia"/>
          <w:lang w:val="en-US" w:eastAsia="zh-CN"/>
        </w:rPr>
        <w:t>:</w:t>
      </w:r>
    </w:p>
    <w:tbl>
      <w:tblPr>
        <w:tblStyle w:val="ae"/>
        <w:tblW w:w="0" w:type="auto"/>
        <w:tblLook w:val="04A0" w:firstRow="1" w:lastRow="0" w:firstColumn="1" w:lastColumn="0" w:noHBand="0" w:noVBand="1"/>
      </w:tblPr>
      <w:tblGrid>
        <w:gridCol w:w="10456"/>
      </w:tblGrid>
      <w:tr w:rsidR="004D40B9" w:rsidRPr="009163A1" w:rsidTr="002C0BC4">
        <w:tc>
          <w:tcPr>
            <w:tcW w:w="10456" w:type="dxa"/>
          </w:tcPr>
          <w:p w:rsidR="004D40B9" w:rsidRPr="00B22B83" w:rsidRDefault="004D40B9" w:rsidP="002C0BC4">
            <w:pPr>
              <w:numPr>
                <w:ilvl w:val="0"/>
                <w:numId w:val="7"/>
              </w:numPr>
              <w:spacing w:after="0"/>
              <w:rPr>
                <w:i/>
                <w:lang w:val="en-US" w:eastAsia="zh-CN"/>
              </w:rPr>
            </w:pPr>
            <w:r w:rsidRPr="00B22B83">
              <w:rPr>
                <w:i/>
                <w:lang w:val="en-US" w:eastAsia="zh-CN"/>
              </w:rPr>
              <w:t xml:space="preserve">FFS the applicability rule between </w:t>
            </w:r>
            <w:r w:rsidRPr="00B22B83">
              <w:rPr>
                <w:i/>
                <w:lang w:eastAsia="zh-CN"/>
              </w:rPr>
              <w:t>HST-SFN, HST single tap and HST multi-path fading performance test cases</w:t>
            </w:r>
          </w:p>
          <w:p w:rsidR="004D40B9" w:rsidRPr="00B22B83" w:rsidRDefault="004D40B9" w:rsidP="002C0BC4">
            <w:pPr>
              <w:numPr>
                <w:ilvl w:val="0"/>
                <w:numId w:val="7"/>
              </w:numPr>
              <w:spacing w:after="0"/>
              <w:rPr>
                <w:i/>
                <w:lang w:val="en-US" w:eastAsia="zh-CN"/>
              </w:rPr>
            </w:pPr>
            <w:r w:rsidRPr="00B22B83">
              <w:rPr>
                <w:i/>
                <w:lang w:val="en-US" w:eastAsia="zh-CN"/>
              </w:rPr>
              <w:t>FFS whether to define to Applicability rule between different Doppler frequencies for the same channel model</w:t>
            </w:r>
          </w:p>
        </w:tc>
      </w:tr>
    </w:tbl>
    <w:p w:rsidR="004D40B9" w:rsidRDefault="004D40B9" w:rsidP="004D40B9">
      <w:pPr>
        <w:rPr>
          <w:lang w:val="en-US" w:eastAsia="zh-CN"/>
        </w:rPr>
      </w:pPr>
    </w:p>
    <w:p w:rsidR="00B6098E" w:rsidRDefault="00C53270" w:rsidP="009163A1">
      <w:pPr>
        <w:rPr>
          <w:lang w:eastAsia="zh-CN"/>
        </w:rPr>
      </w:pPr>
      <w:r>
        <w:rPr>
          <w:rFonts w:hint="eastAsia"/>
          <w:lang w:val="en-US" w:eastAsia="zh-CN"/>
        </w:rPr>
        <w:t>F</w:t>
      </w:r>
      <w:r>
        <w:rPr>
          <w:lang w:val="en-US" w:eastAsia="zh-CN"/>
        </w:rPr>
        <w:t>or the applicability rule between different channel model</w:t>
      </w:r>
      <w:r w:rsidR="00F07F52">
        <w:rPr>
          <w:lang w:val="en-US" w:eastAsia="zh-CN"/>
        </w:rPr>
        <w:t>s of HST-SFN, HST single-tap and HST multi-path fading</w:t>
      </w:r>
      <w:r w:rsidR="00F32DCB">
        <w:rPr>
          <w:lang w:val="en-US" w:eastAsia="zh-CN"/>
        </w:rPr>
        <w:t xml:space="preserve">, we think that test applicability can be defined at least for HST-SFN and HST single tap. </w:t>
      </w:r>
      <w:r w:rsidR="00720640">
        <w:rPr>
          <w:lang w:eastAsia="zh-CN"/>
        </w:rPr>
        <w:t xml:space="preserve">Extraction of section </w:t>
      </w:r>
      <w:r w:rsidR="00720640">
        <w:rPr>
          <w:snapToGrid w:val="0"/>
        </w:rPr>
        <w:t>8.2.1.9.2</w:t>
      </w:r>
      <w:r w:rsidR="00720640">
        <w:rPr>
          <w:lang w:eastAsia="zh-CN"/>
        </w:rPr>
        <w:t xml:space="preserve"> of TS 36.101 [</w:t>
      </w:r>
      <w:r w:rsidR="004D40B9">
        <w:rPr>
          <w:lang w:eastAsia="zh-CN"/>
        </w:rPr>
        <w:t>3</w:t>
      </w:r>
      <w:r w:rsidR="00720640">
        <w:rPr>
          <w:lang w:eastAsia="zh-CN"/>
        </w:rPr>
        <w:t>] for LTE HST is derived as below:</w:t>
      </w:r>
    </w:p>
    <w:tbl>
      <w:tblPr>
        <w:tblStyle w:val="ae"/>
        <w:tblW w:w="0" w:type="auto"/>
        <w:tblLook w:val="04A0" w:firstRow="1" w:lastRow="0" w:firstColumn="1" w:lastColumn="0" w:noHBand="0" w:noVBand="1"/>
      </w:tblPr>
      <w:tblGrid>
        <w:gridCol w:w="10456"/>
      </w:tblGrid>
      <w:tr w:rsidR="00720640" w:rsidTr="00F32DCB">
        <w:trPr>
          <w:trHeight w:val="2085"/>
        </w:trPr>
        <w:tc>
          <w:tcPr>
            <w:tcW w:w="10456" w:type="dxa"/>
          </w:tcPr>
          <w:p w:rsidR="00720640" w:rsidRPr="00720640" w:rsidRDefault="00720640" w:rsidP="00720640">
            <w:pPr>
              <w:spacing w:after="0"/>
              <w:rPr>
                <w:rFonts w:eastAsia="Times New Roman"/>
                <w:i/>
                <w:lang w:eastAsia="en-GB"/>
              </w:rPr>
            </w:pPr>
            <w:r w:rsidRPr="003669DC">
              <w:rPr>
                <w:i/>
              </w:rPr>
              <w:t>The requirements are specified in Table 8.2.1.</w:t>
            </w:r>
            <w:r w:rsidRPr="003669DC">
              <w:rPr>
                <w:i/>
                <w:lang w:eastAsia="zh-CN"/>
              </w:rPr>
              <w:t>9.2</w:t>
            </w:r>
            <w:r w:rsidRPr="003669DC">
              <w:rPr>
                <w:i/>
              </w:rPr>
              <w:t xml:space="preserve">-2, with the addition of the parameters in Table 8.2.1.9.2-1 and the downlink physical channel setup according to Annex C.3.2. The purpose of these tests are to verify </w:t>
            </w:r>
            <w:r w:rsidRPr="003669DC">
              <w:rPr>
                <w:i/>
                <w:lang w:eastAsia="zh-CN"/>
              </w:rPr>
              <w:t>UE performance in the HST-SFN</w:t>
            </w:r>
            <w:r w:rsidRPr="003669DC">
              <w:rPr>
                <w:i/>
                <w:lang w:eastAsia="ja-JP"/>
              </w:rPr>
              <w:t>-500</w:t>
            </w:r>
            <w:r w:rsidRPr="003669DC">
              <w:rPr>
                <w:i/>
                <w:lang w:eastAsia="zh-CN"/>
              </w:rPr>
              <w:t xml:space="preserve"> and HST-500 scenario. The test for HST-SFN-500 scenario defined in B.3B is applied when </w:t>
            </w:r>
            <w:r w:rsidRPr="003669DC">
              <w:rPr>
                <w:i/>
                <w:lang w:eastAsia="ko-KR"/>
              </w:rPr>
              <w:t>highSpeedEnhancedDemodulationFlag-Rel16</w:t>
            </w:r>
            <w:r w:rsidRPr="003669DC">
              <w:rPr>
                <w:rFonts w:ascii="Arial" w:hAnsi="Arial"/>
                <w:b/>
                <w:bCs/>
                <w:i/>
                <w:sz w:val="18"/>
                <w:lang w:eastAsia="zh-CN"/>
              </w:rPr>
              <w:t xml:space="preserve"> </w:t>
            </w:r>
            <w:r w:rsidRPr="003669DC">
              <w:rPr>
                <w:i/>
                <w:lang w:eastAsia="zh-CN"/>
              </w:rPr>
              <w:t>[7] is received</w:t>
            </w:r>
            <w:r w:rsidRPr="003669DC">
              <w:rPr>
                <w:i/>
              </w:rPr>
              <w:t>. The test for</w:t>
            </w:r>
            <w:r w:rsidRPr="003669DC">
              <w:rPr>
                <w:i/>
                <w:lang w:eastAsia="zh-CN"/>
              </w:rPr>
              <w:t xml:space="preserve"> HST-500 scenario defined in B.3C is applied when </w:t>
            </w:r>
            <w:r w:rsidRPr="003669DC">
              <w:rPr>
                <w:bCs/>
                <w:i/>
                <w:lang w:eastAsia="zh-CN"/>
              </w:rPr>
              <w:t>highSpeedEnhancedDemodulationFlag-Rel16</w:t>
            </w:r>
            <w:r w:rsidRPr="003669DC">
              <w:rPr>
                <w:rFonts w:ascii="Arial" w:hAnsi="Arial"/>
                <w:b/>
                <w:bCs/>
                <w:i/>
                <w:lang w:eastAsia="zh-CN"/>
              </w:rPr>
              <w:t xml:space="preserve"> </w:t>
            </w:r>
            <w:r w:rsidRPr="003669DC">
              <w:rPr>
                <w:i/>
                <w:lang w:eastAsia="zh-CN"/>
              </w:rPr>
              <w:t xml:space="preserve">[7] is not received. </w:t>
            </w:r>
            <w:r w:rsidRPr="003669DC">
              <w:rPr>
                <w:i/>
                <w:highlight w:val="yellow"/>
                <w:lang w:eastAsia="zh-CN"/>
              </w:rPr>
              <w:t>HST-500 test is not applicable to UE that has passed HST-SFN-500 test.</w:t>
            </w:r>
          </w:p>
        </w:tc>
      </w:tr>
    </w:tbl>
    <w:p w:rsidR="00720640" w:rsidRDefault="00720640" w:rsidP="009163A1">
      <w:pPr>
        <w:rPr>
          <w:lang w:eastAsia="zh-CN"/>
        </w:rPr>
      </w:pPr>
      <w:r w:rsidRPr="000D0371">
        <w:rPr>
          <w:lang w:eastAsia="zh-CN"/>
        </w:rPr>
        <w:t>We can see that there is an application rule between single-tap and SFN</w:t>
      </w:r>
      <w:r>
        <w:rPr>
          <w:lang w:eastAsia="zh-CN"/>
        </w:rPr>
        <w:t xml:space="preserve"> for </w:t>
      </w:r>
      <w:r w:rsidRPr="004503E9">
        <w:rPr>
          <w:lang w:eastAsia="zh-CN"/>
        </w:rPr>
        <w:t>Rel-16 LTE HST enhancement</w:t>
      </w:r>
      <w:r>
        <w:rPr>
          <w:lang w:eastAsia="zh-CN"/>
        </w:rPr>
        <w:t xml:space="preserve">. </w:t>
      </w:r>
      <w:r w:rsidR="002C7256">
        <w:rPr>
          <w:lang w:eastAsia="zh-CN"/>
        </w:rPr>
        <w:t xml:space="preserve">Test for single-tap is only for UE </w:t>
      </w:r>
      <w:r w:rsidR="00841AD6">
        <w:rPr>
          <w:lang w:eastAsia="zh-CN"/>
        </w:rPr>
        <w:t xml:space="preserve">that do </w:t>
      </w:r>
      <w:r w:rsidR="002C7256">
        <w:rPr>
          <w:lang w:eastAsia="zh-CN"/>
        </w:rPr>
        <w:t>not support SFN</w:t>
      </w:r>
      <w:r w:rsidR="00841AD6">
        <w:rPr>
          <w:lang w:eastAsia="zh-CN"/>
        </w:rPr>
        <w:t xml:space="preserve"> to ensure the performance under high speed scenario</w:t>
      </w:r>
      <w:r w:rsidR="002C7256">
        <w:rPr>
          <w:lang w:eastAsia="zh-CN"/>
        </w:rPr>
        <w:t>.</w:t>
      </w:r>
      <w:r w:rsidR="00841AD6">
        <w:rPr>
          <w:lang w:eastAsia="zh-CN"/>
        </w:rPr>
        <w:t xml:space="preserve"> </w:t>
      </w:r>
      <w:r>
        <w:rPr>
          <w:lang w:eastAsia="zh-CN"/>
        </w:rPr>
        <w:t xml:space="preserve">For Rel-16 NR HST, </w:t>
      </w:r>
      <w:r w:rsidR="00841AD6">
        <w:rPr>
          <w:lang w:eastAsia="zh-CN"/>
        </w:rPr>
        <w:t xml:space="preserve">we propose that </w:t>
      </w:r>
      <w:r>
        <w:rPr>
          <w:lang w:eastAsia="zh-CN"/>
        </w:rPr>
        <w:t xml:space="preserve">similar rule can be reused, i.e. </w:t>
      </w:r>
      <w:r w:rsidRPr="004503E9">
        <w:rPr>
          <w:lang w:eastAsia="zh-CN"/>
        </w:rPr>
        <w:t xml:space="preserve">UE </w:t>
      </w:r>
      <w:r>
        <w:rPr>
          <w:lang w:eastAsia="zh-CN"/>
        </w:rPr>
        <w:t xml:space="preserve">that </w:t>
      </w:r>
      <w:r w:rsidRPr="004503E9">
        <w:rPr>
          <w:lang w:eastAsia="zh-CN"/>
        </w:rPr>
        <w:t>has passed the requirements for HST-SFN does not need to pass the requirements for HST single tap.</w:t>
      </w:r>
    </w:p>
    <w:p w:rsidR="002C7256" w:rsidRDefault="007A295F" w:rsidP="009163A1">
      <w:pPr>
        <w:rPr>
          <w:lang w:eastAsia="zh-CN"/>
        </w:rPr>
      </w:pPr>
      <w:r>
        <w:rPr>
          <w:lang w:eastAsia="zh-CN"/>
        </w:rPr>
        <w:t xml:space="preserve">Some companies say that the maximum Doppler may be different between SFN and single-tap. However, demodulation performance is affected by the residual frequency which can be seen by baseband rather than the maximum Doppler. </w:t>
      </w:r>
      <w:r w:rsidR="002D071D">
        <w:rPr>
          <w:lang w:eastAsia="zh-CN"/>
        </w:rPr>
        <w:t>Figure 2.</w:t>
      </w:r>
      <w:r w:rsidR="00F86921">
        <w:rPr>
          <w:lang w:eastAsia="zh-CN"/>
        </w:rPr>
        <w:t>1</w:t>
      </w:r>
      <w:r w:rsidR="002D071D">
        <w:rPr>
          <w:lang w:eastAsia="zh-CN"/>
        </w:rPr>
        <w:t xml:space="preserve">-1 shows the residual frequency after frequency compensation for SFN and single-tap. </w:t>
      </w:r>
      <w:r>
        <w:rPr>
          <w:lang w:eastAsia="zh-CN"/>
        </w:rPr>
        <w:t xml:space="preserve">For single-tap, </w:t>
      </w:r>
      <w:r w:rsidR="002D071D">
        <w:rPr>
          <w:lang w:eastAsia="zh-CN"/>
        </w:rPr>
        <w:t xml:space="preserve">residual frequency can be </w:t>
      </w:r>
      <w:r w:rsidR="00A00CC3">
        <w:rPr>
          <w:lang w:eastAsia="zh-CN"/>
        </w:rPr>
        <w:t xml:space="preserve">limited </w:t>
      </w:r>
      <w:r w:rsidR="002D071D">
        <w:rPr>
          <w:lang w:eastAsia="zh-CN"/>
        </w:rPr>
        <w:t xml:space="preserve">near to zero </w:t>
      </w:r>
      <w:r w:rsidR="00A00CC3">
        <w:rPr>
          <w:lang w:eastAsia="zh-CN"/>
        </w:rPr>
        <w:t xml:space="preserve">at most of the time, and </w:t>
      </w:r>
      <w:r w:rsidR="002C7256">
        <w:rPr>
          <w:lang w:eastAsia="zh-CN"/>
        </w:rPr>
        <w:t xml:space="preserve">only </w:t>
      </w:r>
      <w:r w:rsidR="00A00CC3">
        <w:rPr>
          <w:lang w:eastAsia="zh-CN"/>
        </w:rPr>
        <w:t>can be large when UE is passing the RRUs</w:t>
      </w:r>
      <w:r w:rsidR="002D071D">
        <w:rPr>
          <w:lang w:eastAsia="zh-CN"/>
        </w:rPr>
        <w:t>. For SFN, UE suffer</w:t>
      </w:r>
      <w:r w:rsidR="007C0B17">
        <w:rPr>
          <w:lang w:eastAsia="zh-CN"/>
        </w:rPr>
        <w:t>s</w:t>
      </w:r>
      <w:r w:rsidR="002D071D">
        <w:rPr>
          <w:lang w:eastAsia="zh-CN"/>
        </w:rPr>
        <w:t xml:space="preserve"> 4</w:t>
      </w:r>
      <w:r w:rsidR="00A00CC3">
        <w:rPr>
          <w:lang w:eastAsia="zh-CN"/>
        </w:rPr>
        <w:t xml:space="preserve"> paths received from 4 RRUs with high</w:t>
      </w:r>
      <w:r w:rsidR="00841AD6">
        <w:rPr>
          <w:lang w:eastAsia="zh-CN"/>
        </w:rPr>
        <w:t>er</w:t>
      </w:r>
      <w:r w:rsidR="00A00CC3">
        <w:rPr>
          <w:lang w:eastAsia="zh-CN"/>
        </w:rPr>
        <w:t xml:space="preserve"> residual frequency all the time.</w:t>
      </w:r>
      <w:r w:rsidR="002C7256">
        <w:rPr>
          <w:lang w:eastAsia="zh-CN"/>
        </w:rPr>
        <w:t xml:space="preserve"> </w:t>
      </w:r>
      <w:r w:rsidR="00841AD6">
        <w:rPr>
          <w:lang w:eastAsia="zh-CN"/>
        </w:rPr>
        <w:t xml:space="preserve">Therefore, handling SFN scenario is more </w:t>
      </w:r>
      <w:r w:rsidR="007C0B17">
        <w:rPr>
          <w:lang w:eastAsia="zh-CN"/>
        </w:rPr>
        <w:t xml:space="preserve">challenge </w:t>
      </w:r>
      <w:r w:rsidR="00841AD6">
        <w:rPr>
          <w:lang w:eastAsia="zh-CN"/>
        </w:rPr>
        <w:t>compar</w:t>
      </w:r>
      <w:r w:rsidR="007C0B17">
        <w:rPr>
          <w:lang w:eastAsia="zh-CN"/>
        </w:rPr>
        <w:t>ed to</w:t>
      </w:r>
      <w:r w:rsidR="00841AD6">
        <w:rPr>
          <w:lang w:eastAsia="zh-CN"/>
        </w:rPr>
        <w:t xml:space="preserve"> handling single-tap scenario</w:t>
      </w:r>
      <w:r w:rsidR="007C0B17">
        <w:rPr>
          <w:lang w:eastAsia="zh-CN"/>
        </w:rPr>
        <w:t xml:space="preserve"> for UE</w:t>
      </w:r>
      <w:r w:rsidR="00841AD6">
        <w:rPr>
          <w:lang w:eastAsia="zh-CN"/>
        </w:rPr>
        <w:t>.</w:t>
      </w:r>
    </w:p>
    <w:p w:rsidR="00B7427B" w:rsidRDefault="00B7427B" w:rsidP="00A00CC3">
      <w:pPr>
        <w:pStyle w:val="a9"/>
        <w:rPr>
          <w:lang w:eastAsia="zh-CN"/>
        </w:rPr>
      </w:pPr>
      <w:r>
        <w:rPr>
          <w:noProof/>
          <w:lang w:val="en-US" w:eastAsia="zh-CN"/>
        </w:rPr>
        <w:lastRenderedPageBreak/>
        <w:drawing>
          <wp:inline distT="0" distB="0" distL="0" distR="0" wp14:anchorId="01DB9F00" wp14:editId="502A3F27">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600" cy="2005200"/>
                    </a:xfrm>
                    <a:prstGeom prst="rect">
                      <a:avLst/>
                    </a:prstGeom>
                  </pic:spPr>
                </pic:pic>
              </a:graphicData>
            </a:graphic>
          </wp:inline>
        </w:drawing>
      </w:r>
    </w:p>
    <w:p w:rsidR="00A00CC3" w:rsidRDefault="00A00CC3" w:rsidP="00A00CC3">
      <w:pPr>
        <w:pStyle w:val="TH"/>
        <w:rPr>
          <w:lang w:eastAsia="zh-CN"/>
        </w:rPr>
      </w:pPr>
      <w:r>
        <w:rPr>
          <w:rFonts w:hint="eastAsia"/>
          <w:lang w:eastAsia="zh-CN"/>
        </w:rPr>
        <w:t>F</w:t>
      </w:r>
      <w:r>
        <w:rPr>
          <w:lang w:eastAsia="zh-CN"/>
        </w:rPr>
        <w:t>igure 2.</w:t>
      </w:r>
      <w:r w:rsidR="00F86921">
        <w:rPr>
          <w:lang w:eastAsia="zh-CN"/>
        </w:rPr>
        <w:t>1</w:t>
      </w:r>
      <w:r>
        <w:rPr>
          <w:lang w:eastAsia="zh-CN"/>
        </w:rPr>
        <w:t xml:space="preserve">-1 </w:t>
      </w:r>
      <w:r w:rsidR="002C7256">
        <w:rPr>
          <w:lang w:eastAsia="zh-CN"/>
        </w:rPr>
        <w:t>Residual frequency between SFN and single-tap</w:t>
      </w:r>
    </w:p>
    <w:p w:rsidR="002C7256" w:rsidRDefault="002C7256" w:rsidP="002C7256">
      <w:pPr>
        <w:rPr>
          <w:b/>
          <w:lang w:eastAsia="zh-CN"/>
        </w:rPr>
      </w:pPr>
      <w:r>
        <w:rPr>
          <w:rFonts w:hint="eastAsia"/>
          <w:b/>
          <w:lang w:eastAsia="zh-CN"/>
        </w:rPr>
        <w:t>P</w:t>
      </w:r>
      <w:r>
        <w:rPr>
          <w:b/>
          <w:lang w:eastAsia="zh-CN"/>
        </w:rPr>
        <w:t xml:space="preserve">roposal </w:t>
      </w:r>
      <w:r w:rsidR="00F86921">
        <w:rPr>
          <w:b/>
          <w:lang w:eastAsia="zh-CN"/>
        </w:rPr>
        <w:t>1</w:t>
      </w:r>
      <w:r>
        <w:rPr>
          <w:b/>
          <w:lang w:eastAsia="zh-CN"/>
        </w:rPr>
        <w:t>: Do not test UE under HST single-</w:t>
      </w:r>
      <w:r w:rsidRPr="003669DC">
        <w:rPr>
          <w:b/>
          <w:lang w:eastAsia="zh-CN"/>
        </w:rPr>
        <w:t>tap, if UE passes the requirements for HST-SFN.</w:t>
      </w:r>
    </w:p>
    <w:p w:rsidR="00841AD6" w:rsidRDefault="00C53270" w:rsidP="002C7256">
      <w:pPr>
        <w:rPr>
          <w:lang w:eastAsia="zh-CN"/>
        </w:rPr>
      </w:pPr>
      <w:r>
        <w:rPr>
          <w:lang w:eastAsia="zh-CN"/>
        </w:rPr>
        <w:t>Whether</w:t>
      </w:r>
      <w:r w:rsidRPr="00C53270">
        <w:rPr>
          <w:lang w:eastAsia="zh-CN"/>
        </w:rPr>
        <w:t xml:space="preserve"> to define to </w:t>
      </w:r>
      <w:r>
        <w:rPr>
          <w:lang w:eastAsia="zh-CN"/>
        </w:rPr>
        <w:t>the a</w:t>
      </w:r>
      <w:r w:rsidRPr="00C53270">
        <w:rPr>
          <w:lang w:eastAsia="zh-CN"/>
        </w:rPr>
        <w:t>pplicability rule between different Doppler frequencies for the same channel model</w:t>
      </w:r>
      <w:r>
        <w:rPr>
          <w:lang w:eastAsia="zh-CN"/>
        </w:rPr>
        <w:t>,</w:t>
      </w:r>
      <w:r w:rsidRPr="00C53270">
        <w:rPr>
          <w:rFonts w:hint="eastAsia"/>
          <w:lang w:eastAsia="zh-CN"/>
        </w:rPr>
        <w:t xml:space="preserve"> </w:t>
      </w:r>
      <w:r>
        <w:rPr>
          <w:lang w:eastAsia="zh-CN"/>
        </w:rPr>
        <w:t>d</w:t>
      </w:r>
      <w:r w:rsidR="00841AD6" w:rsidRPr="00841AD6">
        <w:rPr>
          <w:lang w:eastAsia="zh-CN"/>
        </w:rPr>
        <w:t xml:space="preserve">uring RAN4#94e-bis meeting, </w:t>
      </w:r>
      <w:r w:rsidR="00841AD6">
        <w:rPr>
          <w:lang w:eastAsia="zh-CN"/>
        </w:rPr>
        <w:t>the following applicability rule</w:t>
      </w:r>
      <w:r w:rsidR="00474065">
        <w:rPr>
          <w:lang w:eastAsia="zh-CN"/>
        </w:rPr>
        <w:t>s</w:t>
      </w:r>
      <w:r w:rsidR="00841AD6">
        <w:rPr>
          <w:lang w:eastAsia="zh-CN"/>
        </w:rPr>
        <w:t xml:space="preserve"> </w:t>
      </w:r>
      <w:r>
        <w:rPr>
          <w:lang w:eastAsia="zh-CN"/>
        </w:rPr>
        <w:t>w</w:t>
      </w:r>
      <w:r w:rsidR="00474065">
        <w:rPr>
          <w:lang w:eastAsia="zh-CN"/>
        </w:rPr>
        <w:t>ere</w:t>
      </w:r>
      <w:r>
        <w:rPr>
          <w:lang w:eastAsia="zh-CN"/>
        </w:rPr>
        <w:t xml:space="preserve"> discussed</w:t>
      </w:r>
      <w:r w:rsidR="00474065">
        <w:rPr>
          <w:lang w:eastAsia="zh-CN"/>
        </w:rPr>
        <w:t xml:space="preserve"> [2]</w:t>
      </w:r>
      <w:r w:rsidR="00841AD6">
        <w:rPr>
          <w:lang w:eastAsia="zh-CN"/>
        </w:rPr>
        <w:t>.</w:t>
      </w:r>
    </w:p>
    <w:tbl>
      <w:tblPr>
        <w:tblStyle w:val="ae"/>
        <w:tblW w:w="0" w:type="auto"/>
        <w:tblLook w:val="04A0" w:firstRow="1" w:lastRow="0" w:firstColumn="1" w:lastColumn="0" w:noHBand="0" w:noVBand="1"/>
      </w:tblPr>
      <w:tblGrid>
        <w:gridCol w:w="10456"/>
      </w:tblGrid>
      <w:tr w:rsidR="00841AD6" w:rsidRPr="00841AD6" w:rsidTr="00841AD6">
        <w:tc>
          <w:tcPr>
            <w:tcW w:w="10456" w:type="dxa"/>
          </w:tcPr>
          <w:p w:rsidR="00841AD6" w:rsidRPr="00841AD6" w:rsidRDefault="00841AD6" w:rsidP="00841AD6">
            <w:pPr>
              <w:pStyle w:val="a3"/>
              <w:numPr>
                <w:ilvl w:val="0"/>
                <w:numId w:val="10"/>
              </w:numPr>
              <w:overflowPunct w:val="0"/>
              <w:autoSpaceDE w:val="0"/>
              <w:autoSpaceDN w:val="0"/>
              <w:adjustRightInd w:val="0"/>
              <w:spacing w:after="0"/>
              <w:ind w:firstLineChars="0"/>
              <w:rPr>
                <w:rFonts w:eastAsiaTheme="minorEastAsia"/>
                <w:i/>
                <w:szCs w:val="24"/>
                <w:lang w:eastAsia="zh-CN"/>
              </w:rPr>
            </w:pPr>
            <w:r w:rsidRPr="00841AD6">
              <w:rPr>
                <w:rFonts w:eastAsiaTheme="minorEastAsia"/>
                <w:i/>
                <w:szCs w:val="24"/>
                <w:lang w:eastAsia="zh-CN"/>
              </w:rPr>
              <w:t xml:space="preserve">UE can skip Rel-15 HST single tap if UE passes the Rel-16 HST single tap case. </w:t>
            </w:r>
          </w:p>
          <w:p w:rsidR="00841AD6" w:rsidRPr="00841AD6" w:rsidRDefault="00841AD6" w:rsidP="00841AD6">
            <w:pPr>
              <w:pStyle w:val="a3"/>
              <w:numPr>
                <w:ilvl w:val="0"/>
                <w:numId w:val="10"/>
              </w:numPr>
              <w:overflowPunct w:val="0"/>
              <w:autoSpaceDE w:val="0"/>
              <w:autoSpaceDN w:val="0"/>
              <w:adjustRightInd w:val="0"/>
              <w:spacing w:after="0"/>
              <w:ind w:firstLineChars="0"/>
              <w:rPr>
                <w:rFonts w:eastAsiaTheme="minorEastAsia"/>
                <w:i/>
                <w:szCs w:val="24"/>
                <w:lang w:eastAsia="zh-CN"/>
              </w:rPr>
            </w:pPr>
            <w:r w:rsidRPr="00841AD6">
              <w:rPr>
                <w:rFonts w:eastAsiaTheme="minorEastAsia"/>
                <w:i/>
                <w:szCs w:val="24"/>
                <w:lang w:eastAsia="zh-CN"/>
              </w:rPr>
              <w:t>UE can skip Rel-15 HST fading case with TDLB100-400 if UE passes the Rel-16 HST fading case with TDLC300-600/TDLC300-1200.</w:t>
            </w:r>
          </w:p>
        </w:tc>
      </w:tr>
    </w:tbl>
    <w:p w:rsidR="00841AD6" w:rsidRDefault="00841AD6" w:rsidP="002C7256">
      <w:pPr>
        <w:rPr>
          <w:lang w:eastAsia="zh-CN"/>
        </w:rPr>
      </w:pPr>
    </w:p>
    <w:p w:rsidR="00841AD6" w:rsidRDefault="003E44B3" w:rsidP="002C7256">
      <w:pPr>
        <w:rPr>
          <w:szCs w:val="24"/>
          <w:lang w:eastAsia="zh-CN"/>
        </w:rPr>
      </w:pPr>
      <w:r>
        <w:rPr>
          <w:szCs w:val="24"/>
          <w:lang w:eastAsia="zh-CN"/>
        </w:rPr>
        <w:t>C</w:t>
      </w:r>
      <w:r w:rsidR="0019339F">
        <w:rPr>
          <w:szCs w:val="24"/>
          <w:lang w:eastAsia="zh-CN"/>
        </w:rPr>
        <w:t>ompar</w:t>
      </w:r>
      <w:r w:rsidR="007C0B17">
        <w:rPr>
          <w:szCs w:val="24"/>
          <w:lang w:eastAsia="zh-CN"/>
        </w:rPr>
        <w:t>ed to</w:t>
      </w:r>
      <w:r w:rsidR="0019339F">
        <w:rPr>
          <w:szCs w:val="24"/>
          <w:lang w:eastAsia="zh-CN"/>
        </w:rPr>
        <w:t xml:space="preserve"> Rel-15 </w:t>
      </w:r>
      <w:r w:rsidR="007C0B17">
        <w:rPr>
          <w:szCs w:val="24"/>
          <w:lang w:eastAsia="zh-CN"/>
        </w:rPr>
        <w:t xml:space="preserve">HST </w:t>
      </w:r>
      <w:r w:rsidR="0019339F">
        <w:rPr>
          <w:szCs w:val="24"/>
          <w:lang w:eastAsia="zh-CN"/>
        </w:rPr>
        <w:t>single-tap test, Rel-16</w:t>
      </w:r>
      <w:r w:rsidR="007C0B17">
        <w:rPr>
          <w:szCs w:val="24"/>
          <w:lang w:eastAsia="zh-CN"/>
        </w:rPr>
        <w:t xml:space="preserve"> HST</w:t>
      </w:r>
      <w:r w:rsidR="0019339F">
        <w:rPr>
          <w:szCs w:val="24"/>
          <w:lang w:eastAsia="zh-CN"/>
        </w:rPr>
        <w:t xml:space="preserve"> single-tap test has </w:t>
      </w:r>
      <w:r w:rsidR="007C0B17">
        <w:rPr>
          <w:szCs w:val="24"/>
          <w:lang w:eastAsia="zh-CN"/>
        </w:rPr>
        <w:t>almost the same test configurations but with higher MCS and higher Doppler shift, i.e. higher test requirements for NR Rel-16 HST single-tap, i</w:t>
      </w:r>
      <w:r w:rsidR="0019339F">
        <w:rPr>
          <w:szCs w:val="24"/>
          <w:lang w:eastAsia="zh-CN"/>
        </w:rPr>
        <w:t xml:space="preserve">f UE can pass Rel-16 </w:t>
      </w:r>
      <w:r w:rsidR="007C0B17">
        <w:rPr>
          <w:szCs w:val="24"/>
          <w:lang w:eastAsia="zh-CN"/>
        </w:rPr>
        <w:t xml:space="preserve">HST </w:t>
      </w:r>
      <w:r w:rsidR="0019339F">
        <w:rPr>
          <w:szCs w:val="24"/>
          <w:lang w:eastAsia="zh-CN"/>
        </w:rPr>
        <w:t>single-tap test, we don’t see any reason</w:t>
      </w:r>
      <w:r w:rsidR="007C0B17">
        <w:rPr>
          <w:szCs w:val="24"/>
          <w:lang w:eastAsia="zh-CN"/>
        </w:rPr>
        <w:t>s that</w:t>
      </w:r>
      <w:r w:rsidR="0019339F">
        <w:rPr>
          <w:szCs w:val="24"/>
          <w:lang w:eastAsia="zh-CN"/>
        </w:rPr>
        <w:t xml:space="preserve"> UE can’t pass Rel-15 </w:t>
      </w:r>
      <w:r w:rsidR="007C0B17">
        <w:rPr>
          <w:szCs w:val="24"/>
          <w:lang w:eastAsia="zh-CN"/>
        </w:rPr>
        <w:t xml:space="preserve">HST </w:t>
      </w:r>
      <w:r w:rsidR="0019339F">
        <w:rPr>
          <w:szCs w:val="24"/>
          <w:lang w:eastAsia="zh-CN"/>
        </w:rPr>
        <w:t xml:space="preserve">single-tap test. Therefore, we propose that </w:t>
      </w:r>
      <w:r w:rsidR="0019339F" w:rsidRPr="0019339F">
        <w:rPr>
          <w:szCs w:val="24"/>
          <w:lang w:eastAsia="zh-CN"/>
        </w:rPr>
        <w:t>UE can skip Rel-15 HST single tap if UE passes the Rel-16 HST single tap case.</w:t>
      </w:r>
    </w:p>
    <w:p w:rsidR="0019339F" w:rsidRDefault="0019339F" w:rsidP="002C7256">
      <w:pPr>
        <w:rPr>
          <w:b/>
          <w:szCs w:val="24"/>
          <w:lang w:eastAsia="zh-CN"/>
        </w:rPr>
      </w:pPr>
      <w:r w:rsidRPr="0019339F">
        <w:rPr>
          <w:b/>
          <w:szCs w:val="24"/>
          <w:lang w:eastAsia="zh-CN"/>
        </w:rPr>
        <w:t xml:space="preserve">Proposal </w:t>
      </w:r>
      <w:r w:rsidR="00F86921">
        <w:rPr>
          <w:b/>
          <w:szCs w:val="24"/>
          <w:lang w:eastAsia="zh-CN"/>
        </w:rPr>
        <w:t>2</w:t>
      </w:r>
      <w:r w:rsidRPr="0019339F">
        <w:rPr>
          <w:b/>
          <w:szCs w:val="24"/>
          <w:lang w:eastAsia="zh-CN"/>
        </w:rPr>
        <w:t>: UE can skip Rel-15 HST single tap</w:t>
      </w:r>
      <w:r w:rsidR="007C0B17">
        <w:rPr>
          <w:b/>
          <w:szCs w:val="24"/>
          <w:lang w:eastAsia="zh-CN"/>
        </w:rPr>
        <w:t xml:space="preserve"> test</w:t>
      </w:r>
      <w:r w:rsidRPr="0019339F">
        <w:rPr>
          <w:b/>
          <w:szCs w:val="24"/>
          <w:lang w:eastAsia="zh-CN"/>
        </w:rPr>
        <w:t xml:space="preserve"> if UE </w:t>
      </w:r>
      <w:r w:rsidR="007C0B17">
        <w:rPr>
          <w:b/>
          <w:szCs w:val="24"/>
          <w:lang w:eastAsia="zh-CN"/>
        </w:rPr>
        <w:t xml:space="preserve">has </w:t>
      </w:r>
      <w:r w:rsidRPr="0019339F">
        <w:rPr>
          <w:b/>
          <w:szCs w:val="24"/>
          <w:lang w:eastAsia="zh-CN"/>
        </w:rPr>
        <w:t>passe</w:t>
      </w:r>
      <w:r w:rsidR="007C0B17">
        <w:rPr>
          <w:b/>
          <w:szCs w:val="24"/>
          <w:lang w:eastAsia="zh-CN"/>
        </w:rPr>
        <w:t>d</w:t>
      </w:r>
      <w:r w:rsidRPr="0019339F">
        <w:rPr>
          <w:b/>
          <w:szCs w:val="24"/>
          <w:lang w:eastAsia="zh-CN"/>
        </w:rPr>
        <w:t xml:space="preserve"> the Rel-16 HST single tap case.</w:t>
      </w:r>
    </w:p>
    <w:p w:rsidR="009D3219" w:rsidRDefault="00D10BB7" w:rsidP="002C7256">
      <w:pPr>
        <w:rPr>
          <w:szCs w:val="24"/>
          <w:lang w:eastAsia="zh-CN"/>
        </w:rPr>
      </w:pPr>
      <w:r>
        <w:rPr>
          <w:lang w:eastAsia="zh-CN"/>
        </w:rPr>
        <w:t xml:space="preserve">After double checked the </w:t>
      </w:r>
      <w:r w:rsidR="009D3219" w:rsidRPr="005315C2">
        <w:rPr>
          <w:lang w:eastAsia="zh-CN"/>
        </w:rPr>
        <w:t xml:space="preserve">NR Rel-15 performance requirements for </w:t>
      </w:r>
      <w:r w:rsidR="005315C2" w:rsidRPr="005315C2">
        <w:rPr>
          <w:lang w:eastAsia="zh-CN"/>
        </w:rPr>
        <w:t xml:space="preserve">FR1 </w:t>
      </w:r>
      <w:r w:rsidR="009D3219" w:rsidRPr="005315C2">
        <w:rPr>
          <w:lang w:eastAsia="zh-CN"/>
        </w:rPr>
        <w:t>multi-path fading channel TDLB100-400 with the test configurations</w:t>
      </w:r>
      <w:r w:rsidR="005315C2" w:rsidRPr="005315C2">
        <w:rPr>
          <w:lang w:eastAsia="zh-CN"/>
        </w:rPr>
        <w:t xml:space="preserve"> of MCS 4, Rank 1 for FDD and TDD</w:t>
      </w:r>
      <w:r>
        <w:rPr>
          <w:lang w:eastAsia="zh-CN"/>
        </w:rPr>
        <w:t>, we found</w:t>
      </w:r>
      <w:r w:rsidR="005315C2" w:rsidRPr="005315C2">
        <w:rPr>
          <w:lang w:eastAsia="zh-CN"/>
        </w:rPr>
        <w:t xml:space="preserve"> </w:t>
      </w:r>
      <w:r>
        <w:rPr>
          <w:lang w:eastAsia="zh-CN"/>
        </w:rPr>
        <w:t xml:space="preserve">the </w:t>
      </w:r>
      <w:r w:rsidR="005315C2" w:rsidRPr="005315C2">
        <w:rPr>
          <w:lang w:eastAsia="zh-CN"/>
        </w:rPr>
        <w:t xml:space="preserve">cases with TDD patterns of FR1.30-1A (7DS2U, S=6:4:4) are specially designed to test dynamic TDD configuration, FR1.30-5 and FR1.30-6 are used to test support of TDD patterns of DSUU and </w:t>
      </w:r>
      <w:r w:rsidR="005315C2" w:rsidRPr="005315C2">
        <w:t>DS</w:t>
      </w:r>
      <w:r w:rsidR="005315C2" w:rsidRPr="005315C2">
        <w:rPr>
          <w:vertAlign w:val="subscript"/>
        </w:rPr>
        <w:t>1</w:t>
      </w:r>
      <w:r w:rsidR="005315C2" w:rsidRPr="005315C2">
        <w:t>S</w:t>
      </w:r>
      <w:r w:rsidR="005315C2" w:rsidRPr="005315C2">
        <w:rPr>
          <w:vertAlign w:val="subscript"/>
        </w:rPr>
        <w:t>2</w:t>
      </w:r>
      <w:r w:rsidR="005315C2" w:rsidRPr="005315C2">
        <w:t>U</w:t>
      </w:r>
      <w:r w:rsidR="005315C2">
        <w:t>, maybe it is not very suitable to skip those test cases if UE passes the Rel-16 HST fading cases with</w:t>
      </w:r>
      <w:r w:rsidR="009D3219">
        <w:rPr>
          <w:szCs w:val="24"/>
          <w:lang w:eastAsia="zh-CN"/>
        </w:rPr>
        <w:t xml:space="preserve"> fading channel TDLC300-600 for 15kHz SCS and TDLC300-1200 for 30kHz SCS</w:t>
      </w:r>
      <w:r w:rsidR="005315C2">
        <w:rPr>
          <w:szCs w:val="24"/>
          <w:lang w:eastAsia="zh-CN"/>
        </w:rPr>
        <w:t xml:space="preserve"> with statically configured TDD pattern of </w:t>
      </w:r>
      <w:r w:rsidR="005315C2" w:rsidRPr="005315C2">
        <w:rPr>
          <w:lang w:eastAsia="zh-CN"/>
        </w:rPr>
        <w:t>FR1.30-1 (7DS2U, S=6:4:4)</w:t>
      </w:r>
      <w:r w:rsidR="005315C2">
        <w:rPr>
          <w:lang w:eastAsia="zh-CN"/>
        </w:rPr>
        <w:t xml:space="preserve">, </w:t>
      </w:r>
      <w:r w:rsidR="005315C2">
        <w:rPr>
          <w:szCs w:val="24"/>
          <w:lang w:eastAsia="zh-CN"/>
        </w:rPr>
        <w:t xml:space="preserve">MCS 13 and Rank 1. </w:t>
      </w:r>
      <w:r>
        <w:rPr>
          <w:szCs w:val="24"/>
          <w:lang w:eastAsia="zh-CN"/>
        </w:rPr>
        <w:t xml:space="preserve">At the same time, we noticed </w:t>
      </w:r>
      <w:r w:rsidR="005315C2">
        <w:rPr>
          <w:szCs w:val="24"/>
          <w:lang w:eastAsia="zh-CN"/>
        </w:rPr>
        <w:t xml:space="preserve">the </w:t>
      </w:r>
      <w:r>
        <w:rPr>
          <w:szCs w:val="24"/>
          <w:lang w:eastAsia="zh-CN"/>
        </w:rPr>
        <w:t xml:space="preserve">following </w:t>
      </w:r>
      <w:r w:rsidR="005315C2">
        <w:rPr>
          <w:szCs w:val="24"/>
          <w:lang w:eastAsia="zh-CN"/>
        </w:rPr>
        <w:t xml:space="preserve">NR Rel-15 </w:t>
      </w:r>
      <w:r>
        <w:rPr>
          <w:szCs w:val="24"/>
          <w:lang w:eastAsia="zh-CN"/>
        </w:rPr>
        <w:t xml:space="preserve">FR1 </w:t>
      </w:r>
      <w:r w:rsidR="005315C2">
        <w:rPr>
          <w:szCs w:val="24"/>
          <w:lang w:eastAsia="zh-CN"/>
        </w:rPr>
        <w:t>fading cases with TDLC300-100</w:t>
      </w:r>
      <w:r>
        <w:rPr>
          <w:szCs w:val="24"/>
          <w:lang w:eastAsia="zh-CN"/>
        </w:rPr>
        <w:t xml:space="preserve"> that</w:t>
      </w:r>
      <w:r w:rsidR="005315C2">
        <w:rPr>
          <w:szCs w:val="24"/>
          <w:lang w:eastAsia="zh-CN"/>
        </w:rPr>
        <w:t xml:space="preserve"> have the similar test configurations except </w:t>
      </w:r>
      <w:r>
        <w:rPr>
          <w:szCs w:val="24"/>
          <w:lang w:eastAsia="zh-CN"/>
        </w:rPr>
        <w:t xml:space="preserve">the </w:t>
      </w:r>
      <w:r w:rsidR="005315C2">
        <w:rPr>
          <w:szCs w:val="24"/>
          <w:lang w:eastAsia="zh-CN"/>
        </w:rPr>
        <w:t>lower Doppler frequency</w:t>
      </w:r>
      <w:r>
        <w:rPr>
          <w:szCs w:val="24"/>
          <w:lang w:eastAsia="zh-CN"/>
        </w:rPr>
        <w:t xml:space="preserve"> in TS 38.101-4</w:t>
      </w:r>
      <w:r w:rsidR="005315C2">
        <w:rPr>
          <w:szCs w:val="24"/>
          <w:lang w:eastAsia="zh-CN"/>
        </w:rPr>
        <w:t>, it is more feasible to skip these test cases from our point of view:</w:t>
      </w:r>
    </w:p>
    <w:p w:rsidR="00E827E4" w:rsidRPr="00AD529C" w:rsidRDefault="00E827E4" w:rsidP="00AD529C">
      <w:pPr>
        <w:pStyle w:val="TH"/>
      </w:pPr>
      <w:r w:rsidRPr="00661924">
        <w:t xml:space="preserve">Table </w:t>
      </w:r>
      <w:r w:rsidR="00D10BB7">
        <w:t>2.1</w:t>
      </w:r>
      <w:r w:rsidRPr="00661924">
        <w:t>-</w:t>
      </w:r>
      <w:r w:rsidR="00D10BB7">
        <w:t>1</w:t>
      </w:r>
      <w:r w:rsidRPr="00661924">
        <w:t xml:space="preserve">: Minimum performance for </w:t>
      </w:r>
      <w:r w:rsidR="00C53270">
        <w:t>F</w:t>
      </w:r>
      <w:r>
        <w:t xml:space="preserve">DD </w:t>
      </w:r>
      <w:r w:rsidRPr="00661924">
        <w:t>Rank 1</w:t>
      </w: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07"/>
        <w:gridCol w:w="1238"/>
        <w:gridCol w:w="1136"/>
        <w:gridCol w:w="1177"/>
        <w:gridCol w:w="1267"/>
        <w:gridCol w:w="1366"/>
        <w:gridCol w:w="1177"/>
        <w:gridCol w:w="814"/>
      </w:tblGrid>
      <w:tr w:rsidR="00E827E4" w:rsidRPr="00661924" w:rsidTr="00AD529C">
        <w:trPr>
          <w:trHeight w:val="375"/>
          <w:jc w:val="center"/>
        </w:trPr>
        <w:tc>
          <w:tcPr>
            <w:tcW w:w="450" w:type="pct"/>
            <w:vMerge w:val="restar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Test num.</w:t>
            </w:r>
          </w:p>
        </w:tc>
        <w:tc>
          <w:tcPr>
            <w:tcW w:w="689" w:type="pct"/>
            <w:vMerge w:val="restar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Reference</w:t>
            </w:r>
            <w:r w:rsidRPr="00661924">
              <w:rPr>
                <w:rFonts w:ascii="Arial" w:hAnsi="Arial" w:hint="eastAsia"/>
                <w:b/>
                <w:sz w:val="18"/>
                <w:lang w:eastAsia="zh-CN"/>
              </w:rPr>
              <w:t xml:space="preserve"> </w:t>
            </w:r>
            <w:r w:rsidRPr="00661924">
              <w:rPr>
                <w:rFonts w:ascii="Arial" w:hAnsi="Arial"/>
                <w:b/>
                <w:sz w:val="18"/>
              </w:rPr>
              <w:t>channel</w:t>
            </w:r>
          </w:p>
        </w:tc>
        <w:tc>
          <w:tcPr>
            <w:tcW w:w="632" w:type="pct"/>
            <w:vMerge w:val="restart"/>
            <w:shd w:val="clear" w:color="auto" w:fill="FFFFFF"/>
            <w:vAlign w:val="center"/>
          </w:tcPr>
          <w:p w:rsidR="00E827E4" w:rsidRPr="00661924" w:rsidRDefault="00E827E4" w:rsidP="00112E71">
            <w:pPr>
              <w:keepNext/>
              <w:keepLines/>
              <w:spacing w:after="0"/>
              <w:jc w:val="center"/>
              <w:rPr>
                <w:rFonts w:ascii="Arial" w:hAnsi="Arial"/>
                <w:b/>
                <w:sz w:val="18"/>
              </w:rPr>
            </w:pPr>
            <w:r w:rsidRPr="00661924">
              <w:rPr>
                <w:rFonts w:ascii="Arial" w:hAnsi="Arial"/>
                <w:b/>
                <w:sz w:val="18"/>
              </w:rPr>
              <w:t>Bandwidth</w:t>
            </w:r>
            <w:r w:rsidRPr="00661924">
              <w:rPr>
                <w:rFonts w:ascii="Arial" w:hAnsi="Arial" w:hint="eastAsia"/>
                <w:b/>
                <w:sz w:val="18"/>
                <w:lang w:eastAsia="zh-CN"/>
              </w:rPr>
              <w:t xml:space="preserve"> </w:t>
            </w:r>
            <w:r w:rsidRPr="00661924">
              <w:rPr>
                <w:rFonts w:ascii="Arial" w:hAnsi="Arial"/>
                <w:b/>
                <w:sz w:val="18"/>
              </w:rPr>
              <w:t>(MHz) / S</w:t>
            </w:r>
            <w:r>
              <w:rPr>
                <w:rFonts w:ascii="Arial" w:hAnsi="Arial"/>
                <w:b/>
                <w:sz w:val="18"/>
              </w:rPr>
              <w:t>CS</w:t>
            </w:r>
            <w:r w:rsidRPr="00661924">
              <w:rPr>
                <w:rFonts w:ascii="Arial" w:hAnsi="Arial" w:hint="eastAsia"/>
                <w:b/>
                <w:sz w:val="18"/>
                <w:lang w:eastAsia="zh-CN"/>
              </w:rPr>
              <w:t xml:space="preserve"> </w:t>
            </w:r>
            <w:r w:rsidRPr="00661924">
              <w:rPr>
                <w:rFonts w:ascii="Arial" w:hAnsi="Arial"/>
                <w:b/>
                <w:sz w:val="18"/>
              </w:rPr>
              <w:t>(kHz)</w:t>
            </w:r>
          </w:p>
        </w:tc>
        <w:tc>
          <w:tcPr>
            <w:tcW w:w="655" w:type="pct"/>
            <w:vMerge w:val="restart"/>
            <w:shd w:val="clear" w:color="auto" w:fill="FFFFFF"/>
            <w:vAlign w:val="center"/>
          </w:tcPr>
          <w:p w:rsidR="00E827E4" w:rsidRPr="00661924" w:rsidRDefault="00E827E4" w:rsidP="002C0BC4">
            <w:pPr>
              <w:keepNext/>
              <w:keepLines/>
              <w:spacing w:after="0"/>
              <w:jc w:val="center"/>
              <w:rPr>
                <w:rFonts w:ascii="Arial" w:hAnsi="Arial"/>
                <w:b/>
                <w:sz w:val="18"/>
                <w:lang w:eastAsia="zh-CN"/>
              </w:rPr>
            </w:pPr>
            <w:r w:rsidRPr="00661924">
              <w:rPr>
                <w:rFonts w:ascii="Arial" w:hAnsi="Arial"/>
                <w:b/>
                <w:sz w:val="18"/>
              </w:rPr>
              <w:t>Modulation format</w:t>
            </w:r>
            <w:r w:rsidRPr="00661924">
              <w:rPr>
                <w:rFonts w:ascii="Arial" w:hAnsi="Arial" w:hint="eastAsia"/>
                <w:b/>
                <w:sz w:val="18"/>
                <w:lang w:eastAsia="zh-CN"/>
              </w:rPr>
              <w:t xml:space="preserve"> </w:t>
            </w:r>
            <w:r w:rsidRPr="00661924">
              <w:rPr>
                <w:rFonts w:ascii="Arial" w:hAnsi="Arial"/>
                <w:b/>
                <w:sz w:val="18"/>
              </w:rPr>
              <w:t>and code rate</w:t>
            </w:r>
          </w:p>
        </w:tc>
        <w:tc>
          <w:tcPr>
            <w:tcW w:w="705" w:type="pct"/>
            <w:vMerge w:val="restar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Propagation condition</w:t>
            </w:r>
          </w:p>
        </w:tc>
        <w:tc>
          <w:tcPr>
            <w:tcW w:w="760" w:type="pct"/>
            <w:vMerge w:val="restar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Correlation matrix and antenna configuration</w:t>
            </w:r>
          </w:p>
        </w:tc>
        <w:tc>
          <w:tcPr>
            <w:tcW w:w="1107" w:type="pct"/>
            <w:gridSpan w:val="2"/>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Reference value</w:t>
            </w:r>
          </w:p>
        </w:tc>
      </w:tr>
      <w:tr w:rsidR="00E827E4" w:rsidRPr="00661924" w:rsidTr="00AD529C">
        <w:trPr>
          <w:trHeight w:val="375"/>
          <w:jc w:val="center"/>
        </w:trPr>
        <w:tc>
          <w:tcPr>
            <w:tcW w:w="450" w:type="pct"/>
            <w:vMerge/>
            <w:shd w:val="clear" w:color="auto" w:fill="FFFFFF"/>
            <w:vAlign w:val="center"/>
          </w:tcPr>
          <w:p w:rsidR="00E827E4" w:rsidRPr="00661924" w:rsidRDefault="00E827E4" w:rsidP="002C0BC4">
            <w:pPr>
              <w:keepNext/>
              <w:keepLines/>
              <w:spacing w:after="0"/>
              <w:jc w:val="center"/>
              <w:rPr>
                <w:rFonts w:ascii="Arial" w:hAnsi="Arial"/>
                <w:b/>
                <w:sz w:val="18"/>
              </w:rPr>
            </w:pPr>
          </w:p>
        </w:tc>
        <w:tc>
          <w:tcPr>
            <w:tcW w:w="689" w:type="pct"/>
            <w:vMerge/>
            <w:shd w:val="clear" w:color="auto" w:fill="FFFFFF"/>
            <w:vAlign w:val="center"/>
          </w:tcPr>
          <w:p w:rsidR="00E827E4" w:rsidRPr="00661924" w:rsidRDefault="00E827E4" w:rsidP="002C0BC4">
            <w:pPr>
              <w:keepNext/>
              <w:keepLines/>
              <w:spacing w:after="0"/>
              <w:jc w:val="center"/>
              <w:rPr>
                <w:rFonts w:ascii="Arial" w:hAnsi="Arial"/>
                <w:b/>
                <w:sz w:val="18"/>
              </w:rPr>
            </w:pPr>
          </w:p>
        </w:tc>
        <w:tc>
          <w:tcPr>
            <w:tcW w:w="632" w:type="pct"/>
            <w:vMerge/>
            <w:shd w:val="clear" w:color="auto" w:fill="FFFFFF"/>
          </w:tcPr>
          <w:p w:rsidR="00E827E4" w:rsidRPr="00661924" w:rsidRDefault="00E827E4" w:rsidP="002C0BC4">
            <w:pPr>
              <w:keepNext/>
              <w:keepLines/>
              <w:spacing w:after="0"/>
              <w:jc w:val="center"/>
              <w:rPr>
                <w:rFonts w:ascii="Arial" w:hAnsi="Arial"/>
                <w:b/>
                <w:sz w:val="18"/>
              </w:rPr>
            </w:pPr>
          </w:p>
        </w:tc>
        <w:tc>
          <w:tcPr>
            <w:tcW w:w="655" w:type="pct"/>
            <w:vMerge/>
            <w:shd w:val="clear" w:color="auto" w:fill="FFFFFF"/>
          </w:tcPr>
          <w:p w:rsidR="00E827E4" w:rsidRPr="00661924" w:rsidRDefault="00E827E4" w:rsidP="002C0BC4">
            <w:pPr>
              <w:keepNext/>
              <w:keepLines/>
              <w:spacing w:after="0"/>
              <w:jc w:val="center"/>
              <w:rPr>
                <w:rFonts w:ascii="Arial" w:hAnsi="Arial"/>
                <w:b/>
                <w:sz w:val="18"/>
              </w:rPr>
            </w:pPr>
          </w:p>
        </w:tc>
        <w:tc>
          <w:tcPr>
            <w:tcW w:w="705" w:type="pct"/>
            <w:vMerge/>
            <w:shd w:val="clear" w:color="auto" w:fill="FFFFFF"/>
            <w:vAlign w:val="center"/>
          </w:tcPr>
          <w:p w:rsidR="00E827E4" w:rsidRPr="00661924" w:rsidRDefault="00E827E4" w:rsidP="002C0BC4">
            <w:pPr>
              <w:keepNext/>
              <w:keepLines/>
              <w:spacing w:after="0"/>
              <w:jc w:val="center"/>
              <w:rPr>
                <w:rFonts w:ascii="Arial" w:hAnsi="Arial"/>
                <w:b/>
                <w:sz w:val="18"/>
              </w:rPr>
            </w:pPr>
          </w:p>
        </w:tc>
        <w:tc>
          <w:tcPr>
            <w:tcW w:w="760" w:type="pct"/>
            <w:vMerge/>
            <w:shd w:val="clear" w:color="auto" w:fill="FFFFFF"/>
            <w:vAlign w:val="center"/>
          </w:tcPr>
          <w:p w:rsidR="00E827E4" w:rsidRPr="00661924" w:rsidRDefault="00E827E4" w:rsidP="002C0BC4">
            <w:pPr>
              <w:keepNext/>
              <w:keepLines/>
              <w:spacing w:after="0"/>
              <w:jc w:val="center"/>
              <w:rPr>
                <w:rFonts w:ascii="Arial" w:hAnsi="Arial"/>
                <w:b/>
                <w:sz w:val="18"/>
              </w:rPr>
            </w:pPr>
          </w:p>
        </w:tc>
        <w:tc>
          <w:tcPr>
            <w:tcW w:w="655" w:type="pc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Fraction of maximum throughput (%)</w:t>
            </w:r>
          </w:p>
        </w:tc>
        <w:tc>
          <w:tcPr>
            <w:tcW w:w="453" w:type="pct"/>
            <w:shd w:val="clear" w:color="auto" w:fill="FFFFFF"/>
            <w:vAlign w:val="center"/>
          </w:tcPr>
          <w:p w:rsidR="00E827E4" w:rsidRPr="00661924" w:rsidRDefault="00E827E4" w:rsidP="002C0BC4">
            <w:pPr>
              <w:keepNext/>
              <w:keepLines/>
              <w:spacing w:after="0"/>
              <w:jc w:val="center"/>
              <w:rPr>
                <w:rFonts w:ascii="Arial" w:hAnsi="Arial"/>
                <w:b/>
                <w:sz w:val="18"/>
              </w:rPr>
            </w:pPr>
            <w:r w:rsidRPr="00661924">
              <w:rPr>
                <w:rFonts w:ascii="Arial" w:hAnsi="Arial"/>
                <w:b/>
                <w:sz w:val="18"/>
              </w:rPr>
              <w:t>SNR (dB)</w:t>
            </w:r>
          </w:p>
        </w:tc>
      </w:tr>
      <w:tr w:rsidR="00E827E4" w:rsidRPr="00661924" w:rsidTr="00AD529C">
        <w:trPr>
          <w:trHeight w:val="189"/>
          <w:jc w:val="center"/>
        </w:trPr>
        <w:tc>
          <w:tcPr>
            <w:tcW w:w="450"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1-</w:t>
            </w:r>
            <w:r w:rsidRPr="00661924">
              <w:rPr>
                <w:rFonts w:ascii="Arial" w:hAnsi="Arial" w:hint="eastAsia"/>
                <w:sz w:val="18"/>
              </w:rPr>
              <w:t>2</w:t>
            </w:r>
          </w:p>
        </w:tc>
        <w:tc>
          <w:tcPr>
            <w:tcW w:w="689"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R.PDSCH.1-1.2 FDD</w:t>
            </w:r>
          </w:p>
        </w:tc>
        <w:tc>
          <w:tcPr>
            <w:tcW w:w="632"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TDLC300-100</w:t>
            </w:r>
          </w:p>
        </w:tc>
        <w:tc>
          <w:tcPr>
            <w:tcW w:w="760"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2x2, ULA Low</w:t>
            </w:r>
          </w:p>
        </w:tc>
        <w:tc>
          <w:tcPr>
            <w:tcW w:w="655" w:type="pct"/>
            <w:shd w:val="clear" w:color="auto" w:fill="FFFFFF"/>
            <w:vAlign w:val="center"/>
          </w:tcPr>
          <w:p w:rsidR="00E827E4" w:rsidRPr="00661924" w:rsidRDefault="00E827E4" w:rsidP="002C0BC4">
            <w:pPr>
              <w:keepNext/>
              <w:keepLines/>
              <w:spacing w:after="0"/>
              <w:jc w:val="center"/>
              <w:rPr>
                <w:rFonts w:ascii="Arial" w:hAnsi="Arial"/>
                <w:sz w:val="18"/>
              </w:rPr>
            </w:pPr>
            <w:r w:rsidRPr="00661924">
              <w:rPr>
                <w:rFonts w:ascii="Arial" w:hAnsi="Arial"/>
                <w:sz w:val="18"/>
              </w:rPr>
              <w:t>70</w:t>
            </w:r>
          </w:p>
        </w:tc>
        <w:tc>
          <w:tcPr>
            <w:tcW w:w="453" w:type="pct"/>
            <w:shd w:val="clear" w:color="auto" w:fill="FFFFFF"/>
            <w:vAlign w:val="center"/>
          </w:tcPr>
          <w:p w:rsidR="00E827E4" w:rsidRPr="00661924" w:rsidRDefault="00E827E4" w:rsidP="002C0BC4">
            <w:pPr>
              <w:keepNext/>
              <w:keepLines/>
              <w:spacing w:after="0"/>
              <w:jc w:val="center"/>
              <w:rPr>
                <w:rFonts w:ascii="Arial" w:hAnsi="Arial"/>
                <w:sz w:val="18"/>
                <w:lang w:eastAsia="zh-CN"/>
              </w:rPr>
            </w:pPr>
            <w:r w:rsidRPr="00661924">
              <w:rPr>
                <w:rFonts w:ascii="Arial" w:hAnsi="Arial"/>
                <w:sz w:val="18"/>
              </w:rPr>
              <w:t>0.</w:t>
            </w:r>
            <w:r w:rsidRPr="00661924">
              <w:rPr>
                <w:rFonts w:ascii="Arial" w:hAnsi="Arial" w:hint="eastAsia"/>
                <w:sz w:val="18"/>
                <w:lang w:eastAsia="zh-CN"/>
              </w:rPr>
              <w:t>2</w:t>
            </w:r>
          </w:p>
        </w:tc>
      </w:tr>
      <w:tr w:rsidR="00E827E4" w:rsidRPr="00661924" w:rsidTr="00AD529C">
        <w:trPr>
          <w:trHeight w:val="189"/>
          <w:jc w:val="center"/>
        </w:trPr>
        <w:tc>
          <w:tcPr>
            <w:tcW w:w="450"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sz w:val="18"/>
              </w:rPr>
              <w:t>1-</w:t>
            </w:r>
            <w:r w:rsidRPr="00661924">
              <w:rPr>
                <w:rFonts w:ascii="Arial" w:hAnsi="Arial" w:cs="Arial" w:hint="eastAsia"/>
                <w:sz w:val="18"/>
              </w:rPr>
              <w:t>2</w:t>
            </w:r>
          </w:p>
        </w:tc>
        <w:tc>
          <w:tcPr>
            <w:tcW w:w="689"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sz w:val="18"/>
              </w:rPr>
              <w:t>R.PDSCH.1-1.2 FDD</w:t>
            </w:r>
          </w:p>
        </w:tc>
        <w:tc>
          <w:tcPr>
            <w:tcW w:w="632"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sz w:val="18"/>
              </w:rPr>
              <w:t>TDLC300-100</w:t>
            </w:r>
          </w:p>
        </w:tc>
        <w:tc>
          <w:tcPr>
            <w:tcW w:w="760"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655"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sz w:val="18"/>
              </w:rPr>
              <w:t>70</w:t>
            </w:r>
          </w:p>
        </w:tc>
        <w:tc>
          <w:tcPr>
            <w:tcW w:w="453"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cs="Arial" w:hint="eastAsia"/>
                <w:sz w:val="18"/>
                <w:lang w:eastAsia="zh-CN"/>
              </w:rPr>
              <w:t>-2.9</w:t>
            </w:r>
          </w:p>
        </w:tc>
      </w:tr>
    </w:tbl>
    <w:p w:rsidR="005315C2" w:rsidRDefault="005315C2" w:rsidP="002C7256">
      <w:pPr>
        <w:rPr>
          <w:szCs w:val="24"/>
          <w:lang w:eastAsia="zh-CN"/>
        </w:rPr>
      </w:pPr>
    </w:p>
    <w:p w:rsidR="00112E71" w:rsidRPr="00661924" w:rsidRDefault="00112E71" w:rsidP="00112E71">
      <w:pPr>
        <w:pStyle w:val="TH"/>
      </w:pPr>
      <w:r w:rsidRPr="00661924">
        <w:lastRenderedPageBreak/>
        <w:t xml:space="preserve">Table </w:t>
      </w:r>
      <w:r w:rsidR="00D10BB7">
        <w:t>2.1</w:t>
      </w:r>
      <w:r w:rsidRPr="00661924">
        <w:t>-</w:t>
      </w:r>
      <w:r w:rsidR="00D10BB7">
        <w:t>2</w:t>
      </w:r>
      <w:r w:rsidRPr="00661924">
        <w:t xml:space="preserve">: Minimum performance for </w:t>
      </w:r>
      <w:r w:rsidR="00E827E4">
        <w:t xml:space="preserve">TDD </w:t>
      </w:r>
      <w:r w:rsidRPr="00661924">
        <w:t>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314"/>
        <w:gridCol w:w="1255"/>
        <w:gridCol w:w="1261"/>
        <w:gridCol w:w="1263"/>
        <w:gridCol w:w="1346"/>
        <w:gridCol w:w="1451"/>
        <w:gridCol w:w="1251"/>
        <w:gridCol w:w="701"/>
      </w:tblGrid>
      <w:tr w:rsidR="00E827E4" w:rsidRPr="00661924" w:rsidTr="00AD529C">
        <w:trPr>
          <w:trHeight w:val="350"/>
          <w:jc w:val="center"/>
        </w:trPr>
        <w:tc>
          <w:tcPr>
            <w:tcW w:w="326"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Test num.</w:t>
            </w:r>
          </w:p>
        </w:tc>
        <w:tc>
          <w:tcPr>
            <w:tcW w:w="624"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Reference</w:t>
            </w:r>
            <w:r w:rsidRPr="00661924">
              <w:rPr>
                <w:rFonts w:ascii="Arial" w:hAnsi="Arial" w:cs="Arial" w:hint="eastAsia"/>
                <w:b/>
                <w:sz w:val="18"/>
              </w:rPr>
              <w:t xml:space="preserve"> </w:t>
            </w:r>
            <w:r w:rsidRPr="00661924">
              <w:rPr>
                <w:rFonts w:ascii="Arial" w:hAnsi="Arial" w:cs="Arial"/>
                <w:b/>
                <w:sz w:val="18"/>
              </w:rPr>
              <w:t>channel</w:t>
            </w:r>
          </w:p>
        </w:tc>
        <w:tc>
          <w:tcPr>
            <w:tcW w:w="596"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b/>
                <w:sz w:val="18"/>
              </w:rPr>
              <w:t>Bandwidth (MHz) / Subcarrier spacing (kHz)</w:t>
            </w:r>
          </w:p>
        </w:tc>
        <w:tc>
          <w:tcPr>
            <w:tcW w:w="599"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lang w:eastAsia="zh-CN"/>
              </w:rPr>
            </w:pPr>
            <w:r w:rsidRPr="00661924">
              <w:rPr>
                <w:rFonts w:ascii="Arial" w:hAnsi="Arial" w:cs="Arial"/>
                <w:b/>
                <w:sz w:val="18"/>
              </w:rPr>
              <w:t>Modulation format</w:t>
            </w:r>
            <w:r w:rsidRPr="00661924">
              <w:rPr>
                <w:rFonts w:ascii="Arial" w:hAnsi="Arial" w:cs="Arial" w:hint="eastAsia"/>
                <w:b/>
                <w:sz w:val="18"/>
                <w:lang w:eastAsia="zh-CN"/>
              </w:rPr>
              <w:t xml:space="preserve"> and code rate</w:t>
            </w:r>
          </w:p>
        </w:tc>
        <w:tc>
          <w:tcPr>
            <w:tcW w:w="600"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TDD UL-DL pattern</w:t>
            </w:r>
          </w:p>
        </w:tc>
        <w:tc>
          <w:tcPr>
            <w:tcW w:w="639"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Propagation condition</w:t>
            </w:r>
          </w:p>
        </w:tc>
        <w:tc>
          <w:tcPr>
            <w:tcW w:w="689" w:type="pct"/>
            <w:vMerge w:val="restar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Correlation matrix and antenna configuration</w:t>
            </w:r>
          </w:p>
        </w:tc>
        <w:tc>
          <w:tcPr>
            <w:tcW w:w="927" w:type="pct"/>
            <w:gridSpan w:val="2"/>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Reference value</w:t>
            </w:r>
          </w:p>
        </w:tc>
      </w:tr>
      <w:tr w:rsidR="00E827E4" w:rsidRPr="00661924" w:rsidTr="00AD529C">
        <w:trPr>
          <w:trHeight w:val="350"/>
          <w:jc w:val="center"/>
        </w:trPr>
        <w:tc>
          <w:tcPr>
            <w:tcW w:w="326" w:type="pct"/>
            <w:vMerge/>
            <w:shd w:val="clear" w:color="auto" w:fill="FFFFFF"/>
            <w:vAlign w:val="center"/>
          </w:tcPr>
          <w:p w:rsidR="00E827E4" w:rsidRPr="00661924" w:rsidRDefault="00E827E4" w:rsidP="002C0BC4">
            <w:pPr>
              <w:keepNext/>
              <w:keepLines/>
              <w:spacing w:after="0"/>
              <w:jc w:val="center"/>
              <w:rPr>
                <w:rFonts w:ascii="Arial" w:hAnsi="Arial" w:cs="Arial"/>
                <w:b/>
                <w:sz w:val="18"/>
              </w:rPr>
            </w:pPr>
          </w:p>
        </w:tc>
        <w:tc>
          <w:tcPr>
            <w:tcW w:w="624" w:type="pct"/>
            <w:vMerge/>
            <w:shd w:val="clear" w:color="auto" w:fill="FFFFFF"/>
            <w:vAlign w:val="center"/>
          </w:tcPr>
          <w:p w:rsidR="00E827E4" w:rsidRPr="00661924" w:rsidRDefault="00E827E4" w:rsidP="002C0BC4">
            <w:pPr>
              <w:keepNext/>
              <w:keepLines/>
              <w:spacing w:after="0"/>
              <w:jc w:val="center"/>
              <w:rPr>
                <w:rFonts w:ascii="Arial" w:hAnsi="Arial" w:cs="Arial"/>
                <w:b/>
                <w:sz w:val="18"/>
              </w:rPr>
            </w:pPr>
          </w:p>
        </w:tc>
        <w:tc>
          <w:tcPr>
            <w:tcW w:w="596" w:type="pct"/>
            <w:vMerge/>
            <w:shd w:val="clear" w:color="auto" w:fill="FFFFFF"/>
          </w:tcPr>
          <w:p w:rsidR="00E827E4" w:rsidRPr="00661924" w:rsidRDefault="00E827E4" w:rsidP="002C0BC4">
            <w:pPr>
              <w:keepNext/>
              <w:keepLines/>
              <w:spacing w:after="0"/>
              <w:jc w:val="center"/>
              <w:rPr>
                <w:rFonts w:ascii="Arial" w:hAnsi="Arial" w:cs="Arial"/>
                <w:b/>
                <w:sz w:val="18"/>
              </w:rPr>
            </w:pPr>
          </w:p>
        </w:tc>
        <w:tc>
          <w:tcPr>
            <w:tcW w:w="599" w:type="pct"/>
            <w:vMerge/>
            <w:shd w:val="clear" w:color="auto" w:fill="FFFFFF"/>
          </w:tcPr>
          <w:p w:rsidR="00E827E4" w:rsidRPr="00661924" w:rsidRDefault="00E827E4" w:rsidP="002C0BC4">
            <w:pPr>
              <w:keepNext/>
              <w:keepLines/>
              <w:spacing w:after="0"/>
              <w:jc w:val="center"/>
              <w:rPr>
                <w:rFonts w:ascii="Arial" w:hAnsi="Arial" w:cs="Arial"/>
                <w:b/>
                <w:sz w:val="18"/>
              </w:rPr>
            </w:pPr>
          </w:p>
        </w:tc>
        <w:tc>
          <w:tcPr>
            <w:tcW w:w="600" w:type="pct"/>
            <w:vMerge/>
            <w:shd w:val="clear" w:color="auto" w:fill="FFFFFF"/>
          </w:tcPr>
          <w:p w:rsidR="00E827E4" w:rsidRPr="00661924" w:rsidRDefault="00E827E4" w:rsidP="002C0BC4">
            <w:pPr>
              <w:keepNext/>
              <w:keepLines/>
              <w:spacing w:after="0"/>
              <w:jc w:val="center"/>
              <w:rPr>
                <w:rFonts w:ascii="Arial" w:hAnsi="Arial" w:cs="Arial"/>
                <w:b/>
                <w:sz w:val="18"/>
              </w:rPr>
            </w:pPr>
          </w:p>
        </w:tc>
        <w:tc>
          <w:tcPr>
            <w:tcW w:w="639" w:type="pct"/>
            <w:vMerge/>
            <w:shd w:val="clear" w:color="auto" w:fill="FFFFFF"/>
            <w:vAlign w:val="center"/>
          </w:tcPr>
          <w:p w:rsidR="00E827E4" w:rsidRPr="00661924" w:rsidRDefault="00E827E4" w:rsidP="002C0BC4">
            <w:pPr>
              <w:keepNext/>
              <w:keepLines/>
              <w:spacing w:after="0"/>
              <w:jc w:val="center"/>
              <w:rPr>
                <w:rFonts w:ascii="Arial" w:hAnsi="Arial" w:cs="Arial"/>
                <w:b/>
                <w:sz w:val="18"/>
              </w:rPr>
            </w:pPr>
          </w:p>
        </w:tc>
        <w:tc>
          <w:tcPr>
            <w:tcW w:w="689" w:type="pct"/>
            <w:vMerge/>
            <w:shd w:val="clear" w:color="auto" w:fill="FFFFFF"/>
            <w:vAlign w:val="center"/>
          </w:tcPr>
          <w:p w:rsidR="00E827E4" w:rsidRPr="00661924" w:rsidRDefault="00E827E4" w:rsidP="002C0BC4">
            <w:pPr>
              <w:keepNext/>
              <w:keepLines/>
              <w:spacing w:after="0"/>
              <w:jc w:val="center"/>
              <w:rPr>
                <w:rFonts w:ascii="Arial" w:hAnsi="Arial" w:cs="Arial"/>
                <w:b/>
                <w:sz w:val="18"/>
              </w:rPr>
            </w:pPr>
          </w:p>
        </w:tc>
        <w:tc>
          <w:tcPr>
            <w:tcW w:w="594" w:type="pc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Fraction of maximum throughput (%)</w:t>
            </w:r>
          </w:p>
        </w:tc>
        <w:tc>
          <w:tcPr>
            <w:tcW w:w="333" w:type="pct"/>
            <w:shd w:val="clear" w:color="auto" w:fill="FFFFFF"/>
            <w:vAlign w:val="center"/>
          </w:tcPr>
          <w:p w:rsidR="00E827E4" w:rsidRPr="00661924" w:rsidRDefault="00E827E4" w:rsidP="002C0BC4">
            <w:pPr>
              <w:keepNext/>
              <w:keepLines/>
              <w:spacing w:after="0"/>
              <w:jc w:val="center"/>
              <w:rPr>
                <w:rFonts w:ascii="Arial" w:hAnsi="Arial" w:cs="Arial"/>
                <w:b/>
                <w:sz w:val="18"/>
              </w:rPr>
            </w:pPr>
            <w:r w:rsidRPr="00661924">
              <w:rPr>
                <w:rFonts w:ascii="Arial" w:hAnsi="Arial" w:cs="Arial"/>
                <w:b/>
                <w:sz w:val="18"/>
              </w:rPr>
              <w:t>SNR (dB)</w:t>
            </w:r>
          </w:p>
        </w:tc>
      </w:tr>
      <w:tr w:rsidR="00E827E4" w:rsidRPr="00661924" w:rsidTr="00AD529C">
        <w:trPr>
          <w:trHeight w:val="178"/>
          <w:jc w:val="center"/>
        </w:trPr>
        <w:tc>
          <w:tcPr>
            <w:tcW w:w="326"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E827E4" w:rsidRPr="00661924" w:rsidRDefault="00E827E4" w:rsidP="00112E71">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E827E4" w:rsidRPr="00661924" w:rsidRDefault="00E827E4" w:rsidP="00112E71">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sz w:val="18"/>
              </w:rPr>
              <w:t>FR1.30-1</w:t>
            </w:r>
          </w:p>
        </w:tc>
        <w:tc>
          <w:tcPr>
            <w:tcW w:w="639"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cs="Arial"/>
                <w:sz w:val="18"/>
              </w:rPr>
              <w:t>2x2, ULA Low</w:t>
            </w:r>
          </w:p>
        </w:tc>
        <w:tc>
          <w:tcPr>
            <w:tcW w:w="594" w:type="pct"/>
            <w:shd w:val="clear" w:color="auto" w:fill="FFFFFF"/>
            <w:vAlign w:val="center"/>
          </w:tcPr>
          <w:p w:rsidR="00E827E4" w:rsidRPr="00661924" w:rsidRDefault="00E827E4" w:rsidP="00112E71">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E827E4" w:rsidRPr="00661924" w:rsidRDefault="00E827E4" w:rsidP="00112E71">
            <w:pPr>
              <w:keepNext/>
              <w:keepLines/>
              <w:spacing w:after="0"/>
              <w:jc w:val="center"/>
              <w:rPr>
                <w:rFonts w:ascii="Arial" w:hAnsi="Arial" w:cs="Arial"/>
                <w:sz w:val="18"/>
                <w:lang w:eastAsia="zh-CN"/>
              </w:rPr>
            </w:pPr>
            <w:r w:rsidRPr="00661924">
              <w:rPr>
                <w:rFonts w:ascii="Arial" w:hAnsi="Arial" w:cs="Arial" w:hint="eastAsia"/>
                <w:sz w:val="18"/>
                <w:lang w:eastAsia="zh-CN"/>
              </w:rPr>
              <w:t>0.2</w:t>
            </w:r>
          </w:p>
        </w:tc>
      </w:tr>
      <w:tr w:rsidR="00E827E4" w:rsidRPr="00661924" w:rsidTr="00AD529C">
        <w:trPr>
          <w:trHeight w:val="210"/>
          <w:jc w:val="center"/>
        </w:trPr>
        <w:tc>
          <w:tcPr>
            <w:tcW w:w="326" w:type="pct"/>
            <w:shd w:val="clear" w:color="auto" w:fill="FFFFFF"/>
            <w:vAlign w:val="center"/>
          </w:tcPr>
          <w:p w:rsidR="00E827E4" w:rsidRPr="00661924" w:rsidRDefault="00E827E4" w:rsidP="00E827E4">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E827E4" w:rsidRPr="00661924" w:rsidRDefault="00E827E4" w:rsidP="00E827E4">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E827E4" w:rsidRPr="00661924" w:rsidRDefault="00E827E4" w:rsidP="00E827E4">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E827E4" w:rsidRPr="00661924" w:rsidRDefault="00E827E4" w:rsidP="00E827E4">
            <w:pPr>
              <w:keepNext/>
              <w:keepLines/>
              <w:spacing w:after="0"/>
              <w:jc w:val="center"/>
              <w:rPr>
                <w:rFonts w:ascii="Arial" w:hAnsi="Arial"/>
                <w:sz w:val="18"/>
              </w:rPr>
            </w:pPr>
            <w:r w:rsidRPr="00661924">
              <w:rPr>
                <w:rFonts w:ascii="Arial" w:hAnsi="Arial"/>
                <w:sz w:val="18"/>
              </w:rPr>
              <w:t>FR1.30-1</w:t>
            </w:r>
          </w:p>
        </w:tc>
        <w:tc>
          <w:tcPr>
            <w:tcW w:w="639" w:type="pct"/>
            <w:shd w:val="clear" w:color="auto" w:fill="FFFFFF"/>
            <w:vAlign w:val="center"/>
          </w:tcPr>
          <w:p w:rsidR="00E827E4" w:rsidRPr="00661924" w:rsidRDefault="00E827E4" w:rsidP="00E827E4">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E827E4" w:rsidRPr="00661924" w:rsidRDefault="00E827E4" w:rsidP="00E827E4">
            <w:pPr>
              <w:keepNext/>
              <w:keepLines/>
              <w:spacing w:after="0"/>
              <w:jc w:val="center"/>
              <w:rPr>
                <w:rFonts w:ascii="Arial" w:hAnsi="Arial" w:cs="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594" w:type="pct"/>
            <w:shd w:val="clear" w:color="auto" w:fill="FFFFFF"/>
            <w:vAlign w:val="center"/>
          </w:tcPr>
          <w:p w:rsidR="00E827E4" w:rsidRPr="00661924" w:rsidRDefault="00E827E4" w:rsidP="00E827E4">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E827E4" w:rsidRPr="00661924" w:rsidRDefault="00E827E4" w:rsidP="00E827E4">
            <w:pPr>
              <w:keepNext/>
              <w:keepLines/>
              <w:spacing w:after="0"/>
              <w:jc w:val="center"/>
              <w:rPr>
                <w:rFonts w:ascii="Arial" w:hAnsi="Arial" w:cs="Arial"/>
                <w:sz w:val="18"/>
                <w:lang w:eastAsia="zh-CN"/>
              </w:rPr>
            </w:pPr>
            <w:r w:rsidRPr="00661924">
              <w:rPr>
                <w:rFonts w:ascii="Arial" w:hAnsi="Arial" w:cs="Arial" w:hint="eastAsia"/>
                <w:sz w:val="18"/>
                <w:lang w:eastAsia="zh-CN"/>
              </w:rPr>
              <w:t>-2.7</w:t>
            </w:r>
          </w:p>
        </w:tc>
      </w:tr>
    </w:tbl>
    <w:p w:rsidR="00112E71" w:rsidRDefault="00112E71" w:rsidP="002C7256">
      <w:pPr>
        <w:rPr>
          <w:szCs w:val="24"/>
          <w:lang w:eastAsia="zh-CN"/>
        </w:rPr>
      </w:pPr>
    </w:p>
    <w:p w:rsidR="00F121C1" w:rsidRPr="00FD1063" w:rsidRDefault="00F121C1" w:rsidP="002C7256">
      <w:pPr>
        <w:rPr>
          <w:b/>
          <w:szCs w:val="24"/>
          <w:lang w:eastAsia="zh-CN"/>
        </w:rPr>
      </w:pPr>
      <w:r w:rsidRPr="00FD1063">
        <w:rPr>
          <w:b/>
          <w:szCs w:val="24"/>
          <w:lang w:eastAsia="zh-CN"/>
        </w:rPr>
        <w:t>Proposal 3</w:t>
      </w:r>
      <w:r w:rsidRPr="00FD1063">
        <w:rPr>
          <w:rFonts w:hint="eastAsia"/>
          <w:b/>
          <w:szCs w:val="24"/>
          <w:lang w:eastAsia="zh-CN"/>
        </w:rPr>
        <w:t>:</w:t>
      </w:r>
      <w:r w:rsidRPr="00FD1063">
        <w:rPr>
          <w:b/>
          <w:szCs w:val="24"/>
          <w:lang w:eastAsia="zh-CN"/>
        </w:rPr>
        <w:t xml:space="preserve"> UE can skip NR Rel-15 fading cases with TDLC300-100</w:t>
      </w:r>
      <w:r w:rsidR="00910720" w:rsidRPr="00FD1063">
        <w:rPr>
          <w:b/>
          <w:szCs w:val="24"/>
          <w:lang w:eastAsia="zh-CN"/>
        </w:rPr>
        <w:t xml:space="preserve"> and test metric of 70% max throughput</w:t>
      </w:r>
      <w:r w:rsidRPr="00FD1063">
        <w:rPr>
          <w:b/>
          <w:szCs w:val="24"/>
          <w:lang w:eastAsia="zh-CN"/>
        </w:rPr>
        <w:t xml:space="preserve"> if UE passes the Rel-16 HST fading case with TDLC300-600/TDLC300-1200</w:t>
      </w:r>
      <w:r w:rsidR="00910720" w:rsidRPr="00FD1063">
        <w:rPr>
          <w:b/>
          <w:szCs w:val="24"/>
          <w:lang w:eastAsia="zh-CN"/>
        </w:rPr>
        <w:t>.</w:t>
      </w:r>
    </w:p>
    <w:p w:rsidR="00B22B83" w:rsidRDefault="00B22B83" w:rsidP="00B22B83">
      <w:pPr>
        <w:pStyle w:val="2"/>
        <w:rPr>
          <w:lang w:val="en-US" w:eastAsia="zh-CN"/>
        </w:rPr>
      </w:pPr>
      <w:r w:rsidRPr="00B22B83">
        <w:rPr>
          <w:lang w:val="en-US" w:eastAsia="zh-CN"/>
        </w:rPr>
        <w:t>UE capabilities/features</w:t>
      </w:r>
    </w:p>
    <w:p w:rsidR="002D7973" w:rsidRDefault="002D7973" w:rsidP="00B22B83">
      <w:pPr>
        <w:rPr>
          <w:lang w:val="en-US" w:eastAsia="zh-CN"/>
        </w:rPr>
      </w:pPr>
      <w:r>
        <w:rPr>
          <w:lang w:val="en-US" w:eastAsia="zh-CN"/>
        </w:rPr>
        <w:t>During RAN4#94-e-Bis, UE capabilities/features were discussed with the following agreements:</w:t>
      </w:r>
    </w:p>
    <w:tbl>
      <w:tblPr>
        <w:tblStyle w:val="ae"/>
        <w:tblW w:w="0" w:type="auto"/>
        <w:tblLook w:val="04A0" w:firstRow="1" w:lastRow="0" w:firstColumn="1" w:lastColumn="0" w:noHBand="0" w:noVBand="1"/>
      </w:tblPr>
      <w:tblGrid>
        <w:gridCol w:w="10456"/>
      </w:tblGrid>
      <w:tr w:rsidR="002D7973" w:rsidRPr="00B22B83" w:rsidTr="00D2776C">
        <w:trPr>
          <w:trHeight w:val="2585"/>
        </w:trPr>
        <w:tc>
          <w:tcPr>
            <w:tcW w:w="10456" w:type="dxa"/>
          </w:tcPr>
          <w:p w:rsidR="002D7973" w:rsidRPr="00B22B83" w:rsidRDefault="002D7973" w:rsidP="002C0BC4">
            <w:pPr>
              <w:numPr>
                <w:ilvl w:val="0"/>
                <w:numId w:val="9"/>
              </w:numPr>
              <w:spacing w:after="0"/>
              <w:rPr>
                <w:i/>
                <w:lang w:val="en-US" w:eastAsia="zh-CN"/>
              </w:rPr>
            </w:pPr>
            <w:r w:rsidRPr="00B22B83">
              <w:rPr>
                <w:i/>
                <w:lang w:val="en-US" w:eastAsia="zh-CN"/>
              </w:rPr>
              <w:t xml:space="preserve">For </w:t>
            </w:r>
            <w:r w:rsidRPr="00B22B83">
              <w:rPr>
                <w:i/>
                <w:lang w:eastAsia="zh-CN"/>
              </w:rPr>
              <w:t>HST-SFN</w:t>
            </w:r>
          </w:p>
          <w:p w:rsidR="002D7973" w:rsidRPr="00B22B83" w:rsidRDefault="002D7973" w:rsidP="002C0BC4">
            <w:pPr>
              <w:numPr>
                <w:ilvl w:val="1"/>
                <w:numId w:val="9"/>
              </w:numPr>
              <w:spacing w:after="0"/>
              <w:rPr>
                <w:i/>
                <w:lang w:val="en-US" w:eastAsia="zh-CN"/>
              </w:rPr>
            </w:pPr>
            <w:r w:rsidRPr="00B22B83">
              <w:rPr>
                <w:i/>
                <w:lang w:eastAsia="zh-CN"/>
              </w:rPr>
              <w:t>Introduce per-UE capability to support enhanced demodulation performance for HST-SFN joint transmission scheme with velocity up to 500km/h. (Agreement in RAN4#93)</w:t>
            </w:r>
          </w:p>
          <w:p w:rsidR="002D7973" w:rsidRPr="00B22B83" w:rsidRDefault="002D7973" w:rsidP="002C0BC4">
            <w:pPr>
              <w:numPr>
                <w:ilvl w:val="0"/>
                <w:numId w:val="9"/>
              </w:numPr>
              <w:spacing w:after="0"/>
              <w:rPr>
                <w:i/>
                <w:lang w:val="en-US" w:eastAsia="zh-CN"/>
              </w:rPr>
            </w:pPr>
            <w:r w:rsidRPr="00B22B83">
              <w:rPr>
                <w:i/>
                <w:lang w:val="en-US" w:eastAsia="zh-CN"/>
              </w:rPr>
              <w:t>For HST fading channel requirements, take it as mandatory requirements for Rel-16 and no capability signaling will be introduced.</w:t>
            </w:r>
          </w:p>
          <w:p w:rsidR="002D7973" w:rsidRPr="00B22B83" w:rsidRDefault="002D7973" w:rsidP="002C0BC4">
            <w:pPr>
              <w:numPr>
                <w:ilvl w:val="0"/>
                <w:numId w:val="9"/>
              </w:numPr>
              <w:spacing w:after="0"/>
              <w:rPr>
                <w:i/>
                <w:lang w:val="en-US" w:eastAsia="zh-CN"/>
              </w:rPr>
            </w:pPr>
            <w:r w:rsidRPr="00B22B83">
              <w:rPr>
                <w:i/>
                <w:lang w:val="en-US" w:eastAsia="zh-CN"/>
              </w:rPr>
              <w:t>For HST single Tap channel demodulation requirements, no capability signaling will be introduced</w:t>
            </w:r>
          </w:p>
          <w:p w:rsidR="002D7973" w:rsidRPr="00B22B83" w:rsidRDefault="002D7973" w:rsidP="002C0BC4">
            <w:pPr>
              <w:numPr>
                <w:ilvl w:val="1"/>
                <w:numId w:val="9"/>
              </w:numPr>
              <w:spacing w:after="0"/>
              <w:rPr>
                <w:i/>
                <w:highlight w:val="yellow"/>
                <w:lang w:val="en-US" w:eastAsia="zh-CN"/>
              </w:rPr>
            </w:pPr>
            <w:r w:rsidRPr="00B22B83">
              <w:rPr>
                <w:i/>
                <w:highlight w:val="yellow"/>
                <w:lang w:eastAsia="zh-CN"/>
              </w:rPr>
              <w:t>FFS whether requirements will be mandatory or optional</w:t>
            </w:r>
          </w:p>
          <w:p w:rsidR="002D7973" w:rsidRPr="00B22B83" w:rsidRDefault="002D7973" w:rsidP="002C0BC4">
            <w:pPr>
              <w:numPr>
                <w:ilvl w:val="0"/>
                <w:numId w:val="9"/>
              </w:numPr>
              <w:spacing w:after="0"/>
              <w:rPr>
                <w:i/>
                <w:lang w:val="en-US" w:eastAsia="zh-CN"/>
              </w:rPr>
            </w:pPr>
            <w:r w:rsidRPr="00B22B83">
              <w:rPr>
                <w:i/>
                <w:highlight w:val="yellow"/>
                <w:lang w:val="en-US" w:eastAsia="zh-CN"/>
              </w:rPr>
              <w:t>Further discuss whether feature list will be introduced for HST fading channel, and HST single Tap</w:t>
            </w:r>
          </w:p>
        </w:tc>
      </w:tr>
    </w:tbl>
    <w:p w:rsidR="002D7973" w:rsidRPr="002D7973" w:rsidRDefault="00D2776C" w:rsidP="00B22B83">
      <w:pPr>
        <w:rPr>
          <w:lang w:val="en-US" w:eastAsia="zh-CN"/>
        </w:rPr>
      </w:pPr>
      <w:r>
        <w:rPr>
          <w:lang w:val="en-US" w:eastAsia="zh-CN"/>
        </w:rPr>
        <w:t xml:space="preserve">Due to the open issue of whether to introduce HST RRM signaling for HST single tap demodulation requirements, whether to set HST single tap related requirements to be mandatory or optional are still open, as discussed in our companion contribution </w:t>
      </w:r>
      <w:r w:rsidRPr="00500013">
        <w:rPr>
          <w:lang w:val="en-US" w:eastAsia="zh-CN"/>
        </w:rPr>
        <w:t>[</w:t>
      </w:r>
      <w:r w:rsidR="00500013">
        <w:rPr>
          <w:lang w:val="en-US" w:eastAsia="zh-CN"/>
        </w:rPr>
        <w:t>4</w:t>
      </w:r>
      <w:r w:rsidRPr="00500013">
        <w:rPr>
          <w:lang w:val="en-US" w:eastAsia="zh-CN"/>
        </w:rPr>
        <w:t>]</w:t>
      </w:r>
      <w:r>
        <w:rPr>
          <w:lang w:val="en-US" w:eastAsia="zh-CN"/>
        </w:rPr>
        <w:t>, we do not think that it is necessary to introduce to HST RRM signaling for HST single tap demodulation requirements, HST single tap should</w:t>
      </w:r>
      <w:r w:rsidR="00BB4A02">
        <w:rPr>
          <w:lang w:val="en-US" w:eastAsia="zh-CN"/>
        </w:rPr>
        <w:t xml:space="preserve"> be mandatory for UE to support, also it is mandatory to support in LTE. In such case, both HST fading channel and HST single tap channel related requirements are mandatory without UE capability signaling, no feature list need to be introduced.</w:t>
      </w:r>
    </w:p>
    <w:p w:rsidR="00B6098E" w:rsidRPr="00B22B83" w:rsidRDefault="00421E5F" w:rsidP="00B22B83">
      <w:pPr>
        <w:rPr>
          <w:lang w:val="en-US" w:eastAsia="zh-CN"/>
        </w:rPr>
      </w:pPr>
      <w:r w:rsidRPr="0019339F">
        <w:rPr>
          <w:b/>
          <w:szCs w:val="24"/>
          <w:lang w:eastAsia="zh-CN"/>
        </w:rPr>
        <w:t xml:space="preserve">Proposal </w:t>
      </w:r>
      <w:r w:rsidR="00084008">
        <w:rPr>
          <w:b/>
          <w:szCs w:val="24"/>
          <w:lang w:eastAsia="zh-CN"/>
        </w:rPr>
        <w:t>4</w:t>
      </w:r>
      <w:r w:rsidRPr="0019339F">
        <w:rPr>
          <w:b/>
          <w:szCs w:val="24"/>
          <w:lang w:eastAsia="zh-CN"/>
        </w:rPr>
        <w:t xml:space="preserve">: </w:t>
      </w:r>
      <w:r w:rsidR="00BB4A02">
        <w:rPr>
          <w:b/>
          <w:szCs w:val="24"/>
          <w:lang w:eastAsia="zh-CN"/>
        </w:rPr>
        <w:t>Agree</w:t>
      </w:r>
      <w:r>
        <w:rPr>
          <w:b/>
          <w:szCs w:val="24"/>
          <w:lang w:eastAsia="zh-CN"/>
        </w:rPr>
        <w:t xml:space="preserve"> Rel-16 HST single-tap requirements as mandatory. No need to introduce feature list for </w:t>
      </w:r>
      <w:r w:rsidRPr="00421E5F">
        <w:rPr>
          <w:b/>
          <w:szCs w:val="24"/>
          <w:lang w:eastAsia="zh-CN"/>
        </w:rPr>
        <w:t>HST fading channel</w:t>
      </w:r>
      <w:r>
        <w:rPr>
          <w:b/>
          <w:szCs w:val="24"/>
          <w:lang w:eastAsia="zh-CN"/>
        </w:rPr>
        <w:t xml:space="preserve"> </w:t>
      </w:r>
      <w:r w:rsidR="00BB4A02">
        <w:rPr>
          <w:b/>
          <w:szCs w:val="24"/>
          <w:lang w:eastAsia="zh-CN"/>
        </w:rPr>
        <w:t>and</w:t>
      </w:r>
      <w:r>
        <w:rPr>
          <w:b/>
          <w:szCs w:val="24"/>
          <w:lang w:eastAsia="zh-CN"/>
        </w:rPr>
        <w:t xml:space="preserve"> HST single-t</w:t>
      </w:r>
      <w:r w:rsidRPr="00421E5F">
        <w:rPr>
          <w:b/>
          <w:szCs w:val="24"/>
          <w:lang w:eastAsia="zh-CN"/>
        </w:rPr>
        <w:t>ap</w:t>
      </w:r>
      <w:r>
        <w:rPr>
          <w:b/>
          <w:szCs w:val="24"/>
          <w:lang w:eastAsia="zh-CN"/>
        </w:rPr>
        <w:t>.</w:t>
      </w:r>
    </w:p>
    <w:p w:rsidR="009163A1" w:rsidRDefault="009163A1" w:rsidP="009163A1">
      <w:pPr>
        <w:pStyle w:val="1"/>
        <w:rPr>
          <w:lang w:val="en-US" w:eastAsia="zh-CN"/>
        </w:rPr>
      </w:pPr>
      <w:r>
        <w:rPr>
          <w:rFonts w:hint="eastAsia"/>
          <w:lang w:val="en-US" w:eastAsia="zh-CN"/>
        </w:rPr>
        <w:t>P</w:t>
      </w:r>
      <w:r>
        <w:rPr>
          <w:lang w:val="en-US" w:eastAsia="zh-CN"/>
        </w:rPr>
        <w:t>roposals</w:t>
      </w:r>
    </w:p>
    <w:p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F86921" w:rsidRPr="00F86921">
        <w:rPr>
          <w:lang w:val="en-US" w:eastAsia="zh-CN"/>
        </w:rPr>
        <w:t xml:space="preserve">general issues for </w:t>
      </w:r>
      <w:r w:rsidRPr="00CB40ED">
        <w:rPr>
          <w:lang w:val="en-US" w:eastAsia="zh-CN"/>
        </w:rPr>
        <w:t>NR UE HST performance requirements.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F86921" w:rsidRDefault="00F86921" w:rsidP="00F86921">
      <w:pPr>
        <w:rPr>
          <w:b/>
          <w:lang w:eastAsia="zh-CN"/>
        </w:rPr>
      </w:pPr>
      <w:r>
        <w:rPr>
          <w:rFonts w:hint="eastAsia"/>
          <w:b/>
          <w:lang w:eastAsia="zh-CN"/>
        </w:rPr>
        <w:t>P</w:t>
      </w:r>
      <w:r>
        <w:rPr>
          <w:b/>
          <w:lang w:eastAsia="zh-CN"/>
        </w:rPr>
        <w:t>roposal 1: Do not test UE under HST single-</w:t>
      </w:r>
      <w:r w:rsidRPr="003669DC">
        <w:rPr>
          <w:b/>
          <w:lang w:eastAsia="zh-CN"/>
        </w:rPr>
        <w:t>tap, if UE passes the requirements for HST-SFN.</w:t>
      </w:r>
    </w:p>
    <w:p w:rsidR="00084008" w:rsidRDefault="00084008" w:rsidP="00084008">
      <w:pPr>
        <w:rPr>
          <w:b/>
          <w:szCs w:val="24"/>
          <w:lang w:eastAsia="zh-CN"/>
        </w:rPr>
      </w:pPr>
      <w:r w:rsidRPr="0019339F">
        <w:rPr>
          <w:b/>
          <w:szCs w:val="24"/>
          <w:lang w:eastAsia="zh-CN"/>
        </w:rPr>
        <w:t xml:space="preserve">Proposal </w:t>
      </w:r>
      <w:r>
        <w:rPr>
          <w:b/>
          <w:szCs w:val="24"/>
          <w:lang w:eastAsia="zh-CN"/>
        </w:rPr>
        <w:t>2</w:t>
      </w:r>
      <w:r w:rsidRPr="0019339F">
        <w:rPr>
          <w:b/>
          <w:szCs w:val="24"/>
          <w:lang w:eastAsia="zh-CN"/>
        </w:rPr>
        <w:t>: UE can skip Rel-15 HST single tap</w:t>
      </w:r>
      <w:r>
        <w:rPr>
          <w:b/>
          <w:szCs w:val="24"/>
          <w:lang w:eastAsia="zh-CN"/>
        </w:rPr>
        <w:t xml:space="preserve"> test</w:t>
      </w:r>
      <w:r w:rsidRPr="0019339F">
        <w:rPr>
          <w:b/>
          <w:szCs w:val="24"/>
          <w:lang w:eastAsia="zh-CN"/>
        </w:rPr>
        <w:t xml:space="preserve"> if UE </w:t>
      </w:r>
      <w:r>
        <w:rPr>
          <w:b/>
          <w:szCs w:val="24"/>
          <w:lang w:eastAsia="zh-CN"/>
        </w:rPr>
        <w:t xml:space="preserve">has </w:t>
      </w:r>
      <w:r w:rsidRPr="0019339F">
        <w:rPr>
          <w:b/>
          <w:szCs w:val="24"/>
          <w:lang w:eastAsia="zh-CN"/>
        </w:rPr>
        <w:t>passe</w:t>
      </w:r>
      <w:r>
        <w:rPr>
          <w:b/>
          <w:szCs w:val="24"/>
          <w:lang w:eastAsia="zh-CN"/>
        </w:rPr>
        <w:t>d</w:t>
      </w:r>
      <w:r w:rsidRPr="0019339F">
        <w:rPr>
          <w:b/>
          <w:szCs w:val="24"/>
          <w:lang w:eastAsia="zh-CN"/>
        </w:rPr>
        <w:t xml:space="preserve"> the Rel-16 HST single tap case.</w:t>
      </w:r>
    </w:p>
    <w:p w:rsidR="00084008" w:rsidRPr="00FD1063" w:rsidRDefault="00084008" w:rsidP="00084008">
      <w:pPr>
        <w:rPr>
          <w:b/>
          <w:szCs w:val="24"/>
          <w:lang w:eastAsia="zh-CN"/>
        </w:rPr>
      </w:pPr>
      <w:bookmarkStart w:id="0" w:name="_GoBack"/>
      <w:r w:rsidRPr="00FD1063">
        <w:rPr>
          <w:b/>
          <w:szCs w:val="24"/>
          <w:lang w:eastAsia="zh-CN"/>
        </w:rPr>
        <w:t>Proposal 3</w:t>
      </w:r>
      <w:r w:rsidRPr="00FD1063">
        <w:rPr>
          <w:rFonts w:hint="eastAsia"/>
          <w:b/>
          <w:szCs w:val="24"/>
          <w:lang w:eastAsia="zh-CN"/>
        </w:rPr>
        <w:t>:</w:t>
      </w:r>
      <w:r w:rsidRPr="00FD1063">
        <w:rPr>
          <w:b/>
          <w:szCs w:val="24"/>
          <w:lang w:eastAsia="zh-CN"/>
        </w:rPr>
        <w:t xml:space="preserve"> UE can skip NR Rel-15 fading cases with TDLC300-100 and test metric of 70% max throughput if UE passes the Rel-16 HST fading case with TDLC300-600/TDLC300-1200.</w:t>
      </w:r>
      <w:bookmarkEnd w:id="0"/>
    </w:p>
    <w:p w:rsidR="00084008" w:rsidRPr="00B22B83" w:rsidRDefault="00084008" w:rsidP="00084008">
      <w:pPr>
        <w:rPr>
          <w:lang w:val="en-US" w:eastAsia="zh-CN"/>
        </w:rPr>
      </w:pPr>
      <w:r w:rsidRPr="0019339F">
        <w:rPr>
          <w:b/>
          <w:szCs w:val="24"/>
          <w:lang w:eastAsia="zh-CN"/>
        </w:rPr>
        <w:t xml:space="preserve">Proposal </w:t>
      </w:r>
      <w:r>
        <w:rPr>
          <w:b/>
          <w:szCs w:val="24"/>
          <w:lang w:eastAsia="zh-CN"/>
        </w:rPr>
        <w:t>4</w:t>
      </w:r>
      <w:r w:rsidRPr="0019339F">
        <w:rPr>
          <w:b/>
          <w:szCs w:val="24"/>
          <w:lang w:eastAsia="zh-CN"/>
        </w:rPr>
        <w:t xml:space="preserve">: </w:t>
      </w:r>
      <w:r>
        <w:rPr>
          <w:b/>
          <w:szCs w:val="24"/>
          <w:lang w:eastAsia="zh-CN"/>
        </w:rPr>
        <w:t xml:space="preserve">Agree Rel-16 HST single-tap requirements as mandatory. No need to introduce feature list for </w:t>
      </w:r>
      <w:r w:rsidRPr="00421E5F">
        <w:rPr>
          <w:b/>
          <w:szCs w:val="24"/>
          <w:lang w:eastAsia="zh-CN"/>
        </w:rPr>
        <w:t>HST fading channel</w:t>
      </w:r>
      <w:r>
        <w:rPr>
          <w:b/>
          <w:szCs w:val="24"/>
          <w:lang w:eastAsia="zh-CN"/>
        </w:rPr>
        <w:t xml:space="preserve"> and HST single-t</w:t>
      </w:r>
      <w:r w:rsidRPr="00421E5F">
        <w:rPr>
          <w:b/>
          <w:szCs w:val="24"/>
          <w:lang w:eastAsia="zh-CN"/>
        </w:rPr>
        <w:t>ap</w:t>
      </w:r>
      <w:r>
        <w:rPr>
          <w:b/>
          <w:szCs w:val="24"/>
          <w:lang w:eastAsia="zh-CN"/>
        </w:rPr>
        <w:t>.</w:t>
      </w:r>
    </w:p>
    <w:p w:rsidR="009163A1" w:rsidRDefault="009163A1" w:rsidP="009163A1">
      <w:pPr>
        <w:pStyle w:val="1"/>
        <w:rPr>
          <w:lang w:val="en-US" w:eastAsia="zh-CN"/>
        </w:rPr>
      </w:pPr>
      <w:r>
        <w:rPr>
          <w:rFonts w:hint="eastAsia"/>
          <w:lang w:val="en-US" w:eastAsia="zh-CN"/>
        </w:rPr>
        <w:lastRenderedPageBreak/>
        <w:t>R</w:t>
      </w:r>
      <w:r>
        <w:rPr>
          <w:lang w:val="en-US" w:eastAsia="zh-CN"/>
        </w:rPr>
        <w:t>eference</w:t>
      </w:r>
    </w:p>
    <w:p w:rsidR="009163A1" w:rsidRDefault="00F86921" w:rsidP="009163A1">
      <w:pPr>
        <w:pStyle w:val="Reference"/>
        <w:ind w:left="400" w:hanging="400"/>
        <w:rPr>
          <w:lang w:val="en-US" w:eastAsia="zh-CN"/>
        </w:rPr>
      </w:pPr>
      <w:r>
        <w:rPr>
          <w:lang w:val="en-US" w:eastAsia="zh-CN"/>
        </w:rPr>
        <w:t>R4-2005532</w:t>
      </w:r>
      <w:r w:rsidR="009163A1" w:rsidRPr="009163A1">
        <w:rPr>
          <w:lang w:val="en-US" w:eastAsia="zh-CN"/>
        </w:rPr>
        <w:t>, WF on UE demodulation for NR HST, RAN4#94e</w:t>
      </w:r>
      <w:r>
        <w:rPr>
          <w:lang w:val="en-US" w:eastAsia="zh-CN"/>
        </w:rPr>
        <w:t>-bis</w:t>
      </w:r>
      <w:r w:rsidR="009163A1" w:rsidRPr="009163A1">
        <w:rPr>
          <w:lang w:val="en-US" w:eastAsia="zh-CN"/>
        </w:rPr>
        <w:t>, CMCC</w:t>
      </w:r>
    </w:p>
    <w:p w:rsidR="004D40B9" w:rsidRPr="004D40B9" w:rsidRDefault="004D40B9" w:rsidP="006D675C">
      <w:pPr>
        <w:pStyle w:val="Reference"/>
        <w:ind w:left="400" w:hanging="400"/>
        <w:rPr>
          <w:lang w:val="en-US" w:eastAsia="zh-CN"/>
        </w:rPr>
      </w:pPr>
      <w:r w:rsidRPr="004D40B9">
        <w:rPr>
          <w:lang w:val="en-US" w:eastAsia="zh-CN"/>
        </w:rPr>
        <w:t xml:space="preserve">R4-2005593, Email discussion summary for RAN4#94e Bis_#222_NR_HST_Demod_UE, RAN4#94e-bis, </w:t>
      </w:r>
      <w:r>
        <w:rPr>
          <w:lang w:val="en-US" w:eastAsia="zh-CN"/>
        </w:rPr>
        <w:t>Moderator (</w:t>
      </w:r>
      <w:r w:rsidRPr="004D40B9">
        <w:rPr>
          <w:lang w:val="en-US" w:eastAsia="zh-CN"/>
        </w:rPr>
        <w:t>CMCC</w:t>
      </w:r>
      <w:r>
        <w:rPr>
          <w:lang w:val="en-US" w:eastAsia="zh-CN"/>
        </w:rPr>
        <w:t>)</w:t>
      </w:r>
    </w:p>
    <w:p w:rsidR="009163A1" w:rsidRDefault="00F86921" w:rsidP="00F86921">
      <w:pPr>
        <w:pStyle w:val="Reference"/>
        <w:ind w:left="400" w:hanging="400"/>
        <w:rPr>
          <w:lang w:val="en-US" w:eastAsia="zh-CN"/>
        </w:rPr>
      </w:pPr>
      <w:r w:rsidRPr="00F86921">
        <w:rPr>
          <w:lang w:val="en-US" w:eastAsia="zh-CN"/>
        </w:rPr>
        <w:t>TS 36.101, User Equipment (UE) radio transmission and reception</w:t>
      </w:r>
    </w:p>
    <w:p w:rsidR="00D2776C" w:rsidRDefault="00500013" w:rsidP="00D2776C">
      <w:pPr>
        <w:pStyle w:val="Reference"/>
        <w:ind w:left="400" w:hanging="400"/>
        <w:rPr>
          <w:lang w:val="en-US" w:eastAsia="zh-CN"/>
        </w:rPr>
      </w:pPr>
      <w:r>
        <w:rPr>
          <w:lang w:val="en-US" w:eastAsia="zh-CN"/>
        </w:rPr>
        <w:t>R4-2007236</w:t>
      </w:r>
      <w:r w:rsidR="00D2776C">
        <w:rPr>
          <w:lang w:val="en-US" w:eastAsia="zh-CN"/>
        </w:rPr>
        <w:t xml:space="preserve">, </w:t>
      </w:r>
      <w:r w:rsidR="00D2776C" w:rsidRPr="00D2776C">
        <w:rPr>
          <w:lang w:val="en-US" w:eastAsia="zh-CN"/>
        </w:rPr>
        <w:t>Discussion and simulation results on NR UE HST performance requirements for single-tap</w:t>
      </w:r>
      <w:r w:rsidR="00D2776C">
        <w:rPr>
          <w:lang w:val="en-US" w:eastAsia="zh-CN"/>
        </w:rPr>
        <w:t>, RAN4#95-e, Huawei, HiSilicon</w:t>
      </w:r>
    </w:p>
    <w:sectPr w:rsidR="00D2776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C58" w:rsidRDefault="00EA5C58" w:rsidP="009163A1">
      <w:pPr>
        <w:spacing w:after="0"/>
      </w:pPr>
      <w:r>
        <w:separator/>
      </w:r>
    </w:p>
  </w:endnote>
  <w:endnote w:type="continuationSeparator" w:id="0">
    <w:p w:rsidR="00EA5C58" w:rsidRDefault="00EA5C5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C58" w:rsidRDefault="00EA5C58" w:rsidP="009163A1">
      <w:pPr>
        <w:spacing w:after="0"/>
      </w:pPr>
      <w:r>
        <w:separator/>
      </w:r>
    </w:p>
  </w:footnote>
  <w:footnote w:type="continuationSeparator" w:id="0">
    <w:p w:rsidR="00EA5C58" w:rsidRDefault="00EA5C58"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3270204C"/>
    <w:multiLevelType w:val="hybridMultilevel"/>
    <w:tmpl w:val="6780F2E6"/>
    <w:lvl w:ilvl="0" w:tplc="215E59FC">
      <w:start w:val="1"/>
      <w:numFmt w:val="bullet"/>
      <w:lvlText w:val="•"/>
      <w:lvlJc w:val="left"/>
      <w:pPr>
        <w:tabs>
          <w:tab w:val="num" w:pos="360"/>
        </w:tabs>
        <w:ind w:left="360" w:hanging="360"/>
      </w:pPr>
      <w:rPr>
        <w:rFonts w:ascii="Arial" w:hAnsi="Arial" w:cs="Times New Roman" w:hint="default"/>
      </w:rPr>
    </w:lvl>
    <w:lvl w:ilvl="1" w:tplc="74626460">
      <w:start w:val="608"/>
      <w:numFmt w:val="bullet"/>
      <w:lvlText w:val="–"/>
      <w:lvlJc w:val="left"/>
      <w:pPr>
        <w:tabs>
          <w:tab w:val="num" w:pos="1080"/>
        </w:tabs>
        <w:ind w:left="1080" w:hanging="360"/>
      </w:pPr>
      <w:rPr>
        <w:rFonts w:ascii="Arial" w:hAnsi="Arial" w:cs="Times New Roman" w:hint="default"/>
      </w:rPr>
    </w:lvl>
    <w:lvl w:ilvl="2" w:tplc="447CCB4C">
      <w:start w:val="1"/>
      <w:numFmt w:val="bullet"/>
      <w:lvlText w:val="•"/>
      <w:lvlJc w:val="left"/>
      <w:pPr>
        <w:tabs>
          <w:tab w:val="num" w:pos="1800"/>
        </w:tabs>
        <w:ind w:left="1800" w:hanging="360"/>
      </w:pPr>
      <w:rPr>
        <w:rFonts w:ascii="Arial" w:hAnsi="Arial" w:cs="Times New Roman" w:hint="default"/>
      </w:rPr>
    </w:lvl>
    <w:lvl w:ilvl="3" w:tplc="9DDA2638">
      <w:start w:val="1"/>
      <w:numFmt w:val="bullet"/>
      <w:lvlText w:val="•"/>
      <w:lvlJc w:val="left"/>
      <w:pPr>
        <w:tabs>
          <w:tab w:val="num" w:pos="2520"/>
        </w:tabs>
        <w:ind w:left="2520" w:hanging="360"/>
      </w:pPr>
      <w:rPr>
        <w:rFonts w:ascii="Arial" w:hAnsi="Arial" w:cs="Times New Roman" w:hint="default"/>
      </w:rPr>
    </w:lvl>
    <w:lvl w:ilvl="4" w:tplc="A836CC2E">
      <w:start w:val="1"/>
      <w:numFmt w:val="bullet"/>
      <w:lvlText w:val="•"/>
      <w:lvlJc w:val="left"/>
      <w:pPr>
        <w:tabs>
          <w:tab w:val="num" w:pos="3240"/>
        </w:tabs>
        <w:ind w:left="3240" w:hanging="360"/>
      </w:pPr>
      <w:rPr>
        <w:rFonts w:ascii="Arial" w:hAnsi="Arial" w:cs="Times New Roman" w:hint="default"/>
      </w:rPr>
    </w:lvl>
    <w:lvl w:ilvl="5" w:tplc="BD001E90">
      <w:start w:val="1"/>
      <w:numFmt w:val="bullet"/>
      <w:lvlText w:val="•"/>
      <w:lvlJc w:val="left"/>
      <w:pPr>
        <w:tabs>
          <w:tab w:val="num" w:pos="3960"/>
        </w:tabs>
        <w:ind w:left="3960" w:hanging="360"/>
      </w:pPr>
      <w:rPr>
        <w:rFonts w:ascii="Arial" w:hAnsi="Arial" w:cs="Times New Roman" w:hint="default"/>
      </w:rPr>
    </w:lvl>
    <w:lvl w:ilvl="6" w:tplc="DF9043BA">
      <w:start w:val="1"/>
      <w:numFmt w:val="bullet"/>
      <w:lvlText w:val="•"/>
      <w:lvlJc w:val="left"/>
      <w:pPr>
        <w:tabs>
          <w:tab w:val="num" w:pos="4680"/>
        </w:tabs>
        <w:ind w:left="4680" w:hanging="360"/>
      </w:pPr>
      <w:rPr>
        <w:rFonts w:ascii="Arial" w:hAnsi="Arial" w:cs="Times New Roman" w:hint="default"/>
      </w:rPr>
    </w:lvl>
    <w:lvl w:ilvl="7" w:tplc="8EC6E158">
      <w:start w:val="1"/>
      <w:numFmt w:val="bullet"/>
      <w:lvlText w:val="•"/>
      <w:lvlJc w:val="left"/>
      <w:pPr>
        <w:tabs>
          <w:tab w:val="num" w:pos="5400"/>
        </w:tabs>
        <w:ind w:left="5400" w:hanging="360"/>
      </w:pPr>
      <w:rPr>
        <w:rFonts w:ascii="Arial" w:hAnsi="Arial" w:cs="Times New Roman" w:hint="default"/>
      </w:rPr>
    </w:lvl>
    <w:lvl w:ilvl="8" w:tplc="AB2C4DB0">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329378A6"/>
    <w:multiLevelType w:val="hybridMultilevel"/>
    <w:tmpl w:val="9E186F9A"/>
    <w:lvl w:ilvl="0" w:tplc="D520D2EC">
      <w:start w:val="1"/>
      <w:numFmt w:val="bullet"/>
      <w:lvlText w:val="•"/>
      <w:lvlJc w:val="left"/>
      <w:pPr>
        <w:tabs>
          <w:tab w:val="num" w:pos="360"/>
        </w:tabs>
        <w:ind w:left="360" w:hanging="360"/>
      </w:pPr>
      <w:rPr>
        <w:rFonts w:ascii="Arial" w:hAnsi="Arial" w:hint="default"/>
      </w:rPr>
    </w:lvl>
    <w:lvl w:ilvl="1" w:tplc="2C0C51AC">
      <w:numFmt w:val="bullet"/>
      <w:lvlText w:val="–"/>
      <w:lvlJc w:val="left"/>
      <w:pPr>
        <w:tabs>
          <w:tab w:val="num" w:pos="1080"/>
        </w:tabs>
        <w:ind w:left="1080" w:hanging="360"/>
      </w:pPr>
      <w:rPr>
        <w:rFonts w:ascii="Arial" w:hAnsi="Arial" w:hint="default"/>
      </w:rPr>
    </w:lvl>
    <w:lvl w:ilvl="2" w:tplc="9D82FCF6">
      <w:numFmt w:val="bullet"/>
      <w:lvlText w:val=""/>
      <w:lvlJc w:val="left"/>
      <w:pPr>
        <w:tabs>
          <w:tab w:val="num" w:pos="1800"/>
        </w:tabs>
        <w:ind w:left="1800" w:hanging="360"/>
      </w:pPr>
      <w:rPr>
        <w:rFonts w:ascii="Wingdings" w:hAnsi="Wingdings" w:hint="default"/>
      </w:rPr>
    </w:lvl>
    <w:lvl w:ilvl="3" w:tplc="27900B74" w:tentative="1">
      <w:start w:val="1"/>
      <w:numFmt w:val="bullet"/>
      <w:lvlText w:val="•"/>
      <w:lvlJc w:val="left"/>
      <w:pPr>
        <w:tabs>
          <w:tab w:val="num" w:pos="2520"/>
        </w:tabs>
        <w:ind w:left="2520" w:hanging="360"/>
      </w:pPr>
      <w:rPr>
        <w:rFonts w:ascii="Arial" w:hAnsi="Arial" w:hint="default"/>
      </w:rPr>
    </w:lvl>
    <w:lvl w:ilvl="4" w:tplc="C96233BE" w:tentative="1">
      <w:start w:val="1"/>
      <w:numFmt w:val="bullet"/>
      <w:lvlText w:val="•"/>
      <w:lvlJc w:val="left"/>
      <w:pPr>
        <w:tabs>
          <w:tab w:val="num" w:pos="3240"/>
        </w:tabs>
        <w:ind w:left="3240" w:hanging="360"/>
      </w:pPr>
      <w:rPr>
        <w:rFonts w:ascii="Arial" w:hAnsi="Arial" w:hint="default"/>
      </w:rPr>
    </w:lvl>
    <w:lvl w:ilvl="5" w:tplc="6882E4AA" w:tentative="1">
      <w:start w:val="1"/>
      <w:numFmt w:val="bullet"/>
      <w:lvlText w:val="•"/>
      <w:lvlJc w:val="left"/>
      <w:pPr>
        <w:tabs>
          <w:tab w:val="num" w:pos="3960"/>
        </w:tabs>
        <w:ind w:left="3960" w:hanging="360"/>
      </w:pPr>
      <w:rPr>
        <w:rFonts w:ascii="Arial" w:hAnsi="Arial" w:hint="default"/>
      </w:rPr>
    </w:lvl>
    <w:lvl w:ilvl="6" w:tplc="DA80F3BC" w:tentative="1">
      <w:start w:val="1"/>
      <w:numFmt w:val="bullet"/>
      <w:lvlText w:val="•"/>
      <w:lvlJc w:val="left"/>
      <w:pPr>
        <w:tabs>
          <w:tab w:val="num" w:pos="4680"/>
        </w:tabs>
        <w:ind w:left="4680" w:hanging="360"/>
      </w:pPr>
      <w:rPr>
        <w:rFonts w:ascii="Arial" w:hAnsi="Arial" w:hint="default"/>
      </w:rPr>
    </w:lvl>
    <w:lvl w:ilvl="7" w:tplc="37BA2950" w:tentative="1">
      <w:start w:val="1"/>
      <w:numFmt w:val="bullet"/>
      <w:lvlText w:val="•"/>
      <w:lvlJc w:val="left"/>
      <w:pPr>
        <w:tabs>
          <w:tab w:val="num" w:pos="5400"/>
        </w:tabs>
        <w:ind w:left="5400" w:hanging="360"/>
      </w:pPr>
      <w:rPr>
        <w:rFonts w:ascii="Arial" w:hAnsi="Arial" w:hint="default"/>
      </w:rPr>
    </w:lvl>
    <w:lvl w:ilvl="8" w:tplc="5B60E63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55364E13"/>
    <w:multiLevelType w:val="hybridMultilevel"/>
    <w:tmpl w:val="E9760532"/>
    <w:lvl w:ilvl="0" w:tplc="8C40FC56">
      <w:start w:val="1"/>
      <w:numFmt w:val="bullet"/>
      <w:lvlText w:val="•"/>
      <w:lvlJc w:val="left"/>
      <w:pPr>
        <w:tabs>
          <w:tab w:val="num" w:pos="360"/>
        </w:tabs>
        <w:ind w:left="360" w:hanging="360"/>
      </w:pPr>
      <w:rPr>
        <w:rFonts w:ascii="Arial" w:hAnsi="Arial" w:hint="default"/>
      </w:rPr>
    </w:lvl>
    <w:lvl w:ilvl="1" w:tplc="3B6ABBBC">
      <w:numFmt w:val="bullet"/>
      <w:lvlText w:val="–"/>
      <w:lvlJc w:val="left"/>
      <w:pPr>
        <w:tabs>
          <w:tab w:val="num" w:pos="1080"/>
        </w:tabs>
        <w:ind w:left="1080" w:hanging="360"/>
      </w:pPr>
      <w:rPr>
        <w:rFonts w:ascii="Arial" w:hAnsi="Arial" w:hint="default"/>
      </w:rPr>
    </w:lvl>
    <w:lvl w:ilvl="2" w:tplc="BE78767C" w:tentative="1">
      <w:start w:val="1"/>
      <w:numFmt w:val="bullet"/>
      <w:lvlText w:val="•"/>
      <w:lvlJc w:val="left"/>
      <w:pPr>
        <w:tabs>
          <w:tab w:val="num" w:pos="1800"/>
        </w:tabs>
        <w:ind w:left="1800" w:hanging="360"/>
      </w:pPr>
      <w:rPr>
        <w:rFonts w:ascii="Arial" w:hAnsi="Arial" w:hint="default"/>
      </w:rPr>
    </w:lvl>
    <w:lvl w:ilvl="3" w:tplc="DF348FCC" w:tentative="1">
      <w:start w:val="1"/>
      <w:numFmt w:val="bullet"/>
      <w:lvlText w:val="•"/>
      <w:lvlJc w:val="left"/>
      <w:pPr>
        <w:tabs>
          <w:tab w:val="num" w:pos="2520"/>
        </w:tabs>
        <w:ind w:left="2520" w:hanging="360"/>
      </w:pPr>
      <w:rPr>
        <w:rFonts w:ascii="Arial" w:hAnsi="Arial" w:hint="default"/>
      </w:rPr>
    </w:lvl>
    <w:lvl w:ilvl="4" w:tplc="15D4E044" w:tentative="1">
      <w:start w:val="1"/>
      <w:numFmt w:val="bullet"/>
      <w:lvlText w:val="•"/>
      <w:lvlJc w:val="left"/>
      <w:pPr>
        <w:tabs>
          <w:tab w:val="num" w:pos="3240"/>
        </w:tabs>
        <w:ind w:left="3240" w:hanging="360"/>
      </w:pPr>
      <w:rPr>
        <w:rFonts w:ascii="Arial" w:hAnsi="Arial" w:hint="default"/>
      </w:rPr>
    </w:lvl>
    <w:lvl w:ilvl="5" w:tplc="4DD434CE" w:tentative="1">
      <w:start w:val="1"/>
      <w:numFmt w:val="bullet"/>
      <w:lvlText w:val="•"/>
      <w:lvlJc w:val="left"/>
      <w:pPr>
        <w:tabs>
          <w:tab w:val="num" w:pos="3960"/>
        </w:tabs>
        <w:ind w:left="3960" w:hanging="360"/>
      </w:pPr>
      <w:rPr>
        <w:rFonts w:ascii="Arial" w:hAnsi="Arial" w:hint="default"/>
      </w:rPr>
    </w:lvl>
    <w:lvl w:ilvl="6" w:tplc="48065E8E" w:tentative="1">
      <w:start w:val="1"/>
      <w:numFmt w:val="bullet"/>
      <w:lvlText w:val="•"/>
      <w:lvlJc w:val="left"/>
      <w:pPr>
        <w:tabs>
          <w:tab w:val="num" w:pos="4680"/>
        </w:tabs>
        <w:ind w:left="4680" w:hanging="360"/>
      </w:pPr>
      <w:rPr>
        <w:rFonts w:ascii="Arial" w:hAnsi="Arial" w:hint="default"/>
      </w:rPr>
    </w:lvl>
    <w:lvl w:ilvl="7" w:tplc="FB9C417E" w:tentative="1">
      <w:start w:val="1"/>
      <w:numFmt w:val="bullet"/>
      <w:lvlText w:val="•"/>
      <w:lvlJc w:val="left"/>
      <w:pPr>
        <w:tabs>
          <w:tab w:val="num" w:pos="5400"/>
        </w:tabs>
        <w:ind w:left="5400" w:hanging="360"/>
      </w:pPr>
      <w:rPr>
        <w:rFonts w:ascii="Arial" w:hAnsi="Arial" w:hint="default"/>
      </w:rPr>
    </w:lvl>
    <w:lvl w:ilvl="8" w:tplc="E32A420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9DD3805"/>
    <w:multiLevelType w:val="hybridMultilevel"/>
    <w:tmpl w:val="C36CA872"/>
    <w:lvl w:ilvl="0" w:tplc="86EA38E0">
      <w:start w:val="1"/>
      <w:numFmt w:val="bullet"/>
      <w:lvlText w:val=""/>
      <w:lvlJc w:val="left"/>
      <w:pPr>
        <w:tabs>
          <w:tab w:val="num" w:pos="720"/>
        </w:tabs>
        <w:ind w:left="720" w:hanging="360"/>
      </w:pPr>
      <w:rPr>
        <w:rFonts w:ascii="Wingdings" w:hAnsi="Wingdings" w:hint="default"/>
      </w:rPr>
    </w:lvl>
    <w:lvl w:ilvl="1" w:tplc="76F29A20" w:tentative="1">
      <w:start w:val="1"/>
      <w:numFmt w:val="bullet"/>
      <w:lvlText w:val=""/>
      <w:lvlJc w:val="left"/>
      <w:pPr>
        <w:tabs>
          <w:tab w:val="num" w:pos="1440"/>
        </w:tabs>
        <w:ind w:left="1440" w:hanging="360"/>
      </w:pPr>
      <w:rPr>
        <w:rFonts w:ascii="Wingdings" w:hAnsi="Wingdings" w:hint="default"/>
      </w:rPr>
    </w:lvl>
    <w:lvl w:ilvl="2" w:tplc="40FC7360">
      <w:start w:val="1"/>
      <w:numFmt w:val="bullet"/>
      <w:lvlText w:val=""/>
      <w:lvlJc w:val="left"/>
      <w:pPr>
        <w:tabs>
          <w:tab w:val="num" w:pos="2160"/>
        </w:tabs>
        <w:ind w:left="2160" w:hanging="360"/>
      </w:pPr>
      <w:rPr>
        <w:rFonts w:ascii="Wingdings" w:hAnsi="Wingdings" w:hint="default"/>
      </w:rPr>
    </w:lvl>
    <w:lvl w:ilvl="3" w:tplc="9F0037AE">
      <w:numFmt w:val="bullet"/>
      <w:lvlText w:val=""/>
      <w:lvlJc w:val="left"/>
      <w:pPr>
        <w:tabs>
          <w:tab w:val="num" w:pos="2880"/>
        </w:tabs>
        <w:ind w:left="2880" w:hanging="360"/>
      </w:pPr>
      <w:rPr>
        <w:rFonts w:ascii="Wingdings" w:hAnsi="Wingdings" w:hint="default"/>
      </w:rPr>
    </w:lvl>
    <w:lvl w:ilvl="4" w:tplc="55A4E440" w:tentative="1">
      <w:start w:val="1"/>
      <w:numFmt w:val="bullet"/>
      <w:lvlText w:val=""/>
      <w:lvlJc w:val="left"/>
      <w:pPr>
        <w:tabs>
          <w:tab w:val="num" w:pos="3600"/>
        </w:tabs>
        <w:ind w:left="3600" w:hanging="360"/>
      </w:pPr>
      <w:rPr>
        <w:rFonts w:ascii="Wingdings" w:hAnsi="Wingdings" w:hint="default"/>
      </w:rPr>
    </w:lvl>
    <w:lvl w:ilvl="5" w:tplc="0F72FA18" w:tentative="1">
      <w:start w:val="1"/>
      <w:numFmt w:val="bullet"/>
      <w:lvlText w:val=""/>
      <w:lvlJc w:val="left"/>
      <w:pPr>
        <w:tabs>
          <w:tab w:val="num" w:pos="4320"/>
        </w:tabs>
        <w:ind w:left="4320" w:hanging="360"/>
      </w:pPr>
      <w:rPr>
        <w:rFonts w:ascii="Wingdings" w:hAnsi="Wingdings" w:hint="default"/>
      </w:rPr>
    </w:lvl>
    <w:lvl w:ilvl="6" w:tplc="211A2E8C" w:tentative="1">
      <w:start w:val="1"/>
      <w:numFmt w:val="bullet"/>
      <w:lvlText w:val=""/>
      <w:lvlJc w:val="left"/>
      <w:pPr>
        <w:tabs>
          <w:tab w:val="num" w:pos="5040"/>
        </w:tabs>
        <w:ind w:left="5040" w:hanging="360"/>
      </w:pPr>
      <w:rPr>
        <w:rFonts w:ascii="Wingdings" w:hAnsi="Wingdings" w:hint="default"/>
      </w:rPr>
    </w:lvl>
    <w:lvl w:ilvl="7" w:tplc="2C08BDB4" w:tentative="1">
      <w:start w:val="1"/>
      <w:numFmt w:val="bullet"/>
      <w:lvlText w:val=""/>
      <w:lvlJc w:val="left"/>
      <w:pPr>
        <w:tabs>
          <w:tab w:val="num" w:pos="5760"/>
        </w:tabs>
        <w:ind w:left="5760" w:hanging="360"/>
      </w:pPr>
      <w:rPr>
        <w:rFonts w:ascii="Wingdings" w:hAnsi="Wingdings" w:hint="default"/>
      </w:rPr>
    </w:lvl>
    <w:lvl w:ilvl="8" w:tplc="35EE4AB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0"/>
  </w:num>
  <w:num w:numId="4">
    <w:abstractNumId w:val="1"/>
  </w:num>
  <w:num w:numId="5">
    <w:abstractNumId w:val="9"/>
  </w:num>
  <w:num w:numId="6">
    <w:abstractNumId w:val="8"/>
  </w:num>
  <w:num w:numId="7">
    <w:abstractNumId w:val="3"/>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2"/>
    <w:rsid w:val="00014672"/>
    <w:rsid w:val="0002379D"/>
    <w:rsid w:val="0007474B"/>
    <w:rsid w:val="00084008"/>
    <w:rsid w:val="00086A1D"/>
    <w:rsid w:val="000C68F4"/>
    <w:rsid w:val="000D6018"/>
    <w:rsid w:val="00106E4B"/>
    <w:rsid w:val="00112E71"/>
    <w:rsid w:val="0019339F"/>
    <w:rsid w:val="00221897"/>
    <w:rsid w:val="0025198E"/>
    <w:rsid w:val="0026337D"/>
    <w:rsid w:val="00264A2C"/>
    <w:rsid w:val="0026679C"/>
    <w:rsid w:val="0027571A"/>
    <w:rsid w:val="002C7256"/>
    <w:rsid w:val="002D071D"/>
    <w:rsid w:val="002D7973"/>
    <w:rsid w:val="002E2F7D"/>
    <w:rsid w:val="00314027"/>
    <w:rsid w:val="00347FAD"/>
    <w:rsid w:val="00375269"/>
    <w:rsid w:val="0038762B"/>
    <w:rsid w:val="00390076"/>
    <w:rsid w:val="003E44B3"/>
    <w:rsid w:val="003F7093"/>
    <w:rsid w:val="00401A10"/>
    <w:rsid w:val="00416BDF"/>
    <w:rsid w:val="00421E5F"/>
    <w:rsid w:val="00427BFF"/>
    <w:rsid w:val="0043491A"/>
    <w:rsid w:val="004575B7"/>
    <w:rsid w:val="00474065"/>
    <w:rsid w:val="004B25B2"/>
    <w:rsid w:val="004C607D"/>
    <w:rsid w:val="004C739A"/>
    <w:rsid w:val="004D40B9"/>
    <w:rsid w:val="00500013"/>
    <w:rsid w:val="005315C2"/>
    <w:rsid w:val="00532969"/>
    <w:rsid w:val="005C3579"/>
    <w:rsid w:val="005D7F6A"/>
    <w:rsid w:val="005E0EAC"/>
    <w:rsid w:val="005F7811"/>
    <w:rsid w:val="00621C3A"/>
    <w:rsid w:val="00624A59"/>
    <w:rsid w:val="00637807"/>
    <w:rsid w:val="00665EEC"/>
    <w:rsid w:val="006B7BB4"/>
    <w:rsid w:val="00720640"/>
    <w:rsid w:val="00743521"/>
    <w:rsid w:val="0079042A"/>
    <w:rsid w:val="007A295F"/>
    <w:rsid w:val="007B61F6"/>
    <w:rsid w:val="007C0B17"/>
    <w:rsid w:val="007D050C"/>
    <w:rsid w:val="00804C38"/>
    <w:rsid w:val="00841AD6"/>
    <w:rsid w:val="008664AE"/>
    <w:rsid w:val="00874ED9"/>
    <w:rsid w:val="00877C21"/>
    <w:rsid w:val="008A7439"/>
    <w:rsid w:val="008C70FA"/>
    <w:rsid w:val="00910720"/>
    <w:rsid w:val="009144D2"/>
    <w:rsid w:val="00915630"/>
    <w:rsid w:val="009163A1"/>
    <w:rsid w:val="009A0F65"/>
    <w:rsid w:val="009C60DE"/>
    <w:rsid w:val="009D3219"/>
    <w:rsid w:val="00A00CC3"/>
    <w:rsid w:val="00A70F98"/>
    <w:rsid w:val="00A80BB8"/>
    <w:rsid w:val="00AA3E3D"/>
    <w:rsid w:val="00AA488B"/>
    <w:rsid w:val="00AD3D50"/>
    <w:rsid w:val="00AD529C"/>
    <w:rsid w:val="00AF5146"/>
    <w:rsid w:val="00B22B83"/>
    <w:rsid w:val="00B6098E"/>
    <w:rsid w:val="00B7427B"/>
    <w:rsid w:val="00BB4A02"/>
    <w:rsid w:val="00BC4DE3"/>
    <w:rsid w:val="00BF40E2"/>
    <w:rsid w:val="00C006CD"/>
    <w:rsid w:val="00C06889"/>
    <w:rsid w:val="00C53270"/>
    <w:rsid w:val="00C55A77"/>
    <w:rsid w:val="00CB4AD4"/>
    <w:rsid w:val="00CC519B"/>
    <w:rsid w:val="00CD2D65"/>
    <w:rsid w:val="00CD7A7A"/>
    <w:rsid w:val="00CF77FF"/>
    <w:rsid w:val="00D10BB7"/>
    <w:rsid w:val="00D2776C"/>
    <w:rsid w:val="00DC122D"/>
    <w:rsid w:val="00E14775"/>
    <w:rsid w:val="00E375A2"/>
    <w:rsid w:val="00E6511D"/>
    <w:rsid w:val="00E77E8A"/>
    <w:rsid w:val="00E827E4"/>
    <w:rsid w:val="00E8582B"/>
    <w:rsid w:val="00EA5C58"/>
    <w:rsid w:val="00F07F52"/>
    <w:rsid w:val="00F121C1"/>
    <w:rsid w:val="00F126C1"/>
    <w:rsid w:val="00F32DCB"/>
    <w:rsid w:val="00F50497"/>
    <w:rsid w:val="00F63240"/>
    <w:rsid w:val="00F86921"/>
    <w:rsid w:val="00FA7696"/>
    <w:rsid w:val="00FB2FF0"/>
    <w:rsid w:val="00FC7BC7"/>
    <w:rsid w:val="00FD1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0C5119E-467B-43F3-8E80-9BD33D8A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EC"/>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9D3219"/>
    <w:pPr>
      <w:spacing w:after="0"/>
    </w:pPr>
    <w:rPr>
      <w:sz w:val="18"/>
      <w:szCs w:val="18"/>
    </w:rPr>
  </w:style>
  <w:style w:type="character" w:customStyle="1" w:styleId="Char6">
    <w:name w:val="批注框文本 Char"/>
    <w:basedOn w:val="a0"/>
    <w:link w:val="af"/>
    <w:uiPriority w:val="99"/>
    <w:semiHidden/>
    <w:rsid w:val="009D3219"/>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29752724">
      <w:bodyDiv w:val="1"/>
      <w:marLeft w:val="0"/>
      <w:marRight w:val="0"/>
      <w:marTop w:val="0"/>
      <w:marBottom w:val="0"/>
      <w:divBdr>
        <w:top w:val="none" w:sz="0" w:space="0" w:color="auto"/>
        <w:left w:val="none" w:sz="0" w:space="0" w:color="auto"/>
        <w:bottom w:val="none" w:sz="0" w:space="0" w:color="auto"/>
        <w:right w:val="none" w:sz="0" w:space="0" w:color="auto"/>
      </w:divBdr>
      <w:divsChild>
        <w:div w:id="387456289">
          <w:marLeft w:val="1166"/>
          <w:marRight w:val="0"/>
          <w:marTop w:val="0"/>
          <w:marBottom w:val="0"/>
          <w:divBdr>
            <w:top w:val="none" w:sz="0" w:space="0" w:color="auto"/>
            <w:left w:val="none" w:sz="0" w:space="0" w:color="auto"/>
            <w:bottom w:val="none" w:sz="0" w:space="0" w:color="auto"/>
            <w:right w:val="none" w:sz="0" w:space="0" w:color="auto"/>
          </w:divBdr>
        </w:div>
        <w:div w:id="1896043516">
          <w:marLeft w:val="1166"/>
          <w:marRight w:val="0"/>
          <w:marTop w:val="0"/>
          <w:marBottom w:val="0"/>
          <w:divBdr>
            <w:top w:val="none" w:sz="0" w:space="0" w:color="auto"/>
            <w:left w:val="none" w:sz="0" w:space="0" w:color="auto"/>
            <w:bottom w:val="none" w:sz="0" w:space="0" w:color="auto"/>
            <w:right w:val="none" w:sz="0" w:space="0" w:color="auto"/>
          </w:divBdr>
        </w:div>
        <w:div w:id="888109775">
          <w:marLeft w:val="1166"/>
          <w:marRight w:val="0"/>
          <w:marTop w:val="0"/>
          <w:marBottom w:val="0"/>
          <w:divBdr>
            <w:top w:val="none" w:sz="0" w:space="0" w:color="auto"/>
            <w:left w:val="none" w:sz="0" w:space="0" w:color="auto"/>
            <w:bottom w:val="none" w:sz="0" w:space="0" w:color="auto"/>
            <w:right w:val="none" w:sz="0" w:space="0" w:color="auto"/>
          </w:divBdr>
        </w:div>
        <w:div w:id="824779259">
          <w:marLeft w:val="1886"/>
          <w:marRight w:val="0"/>
          <w:marTop w:val="0"/>
          <w:marBottom w:val="0"/>
          <w:divBdr>
            <w:top w:val="none" w:sz="0" w:space="0" w:color="auto"/>
            <w:left w:val="none" w:sz="0" w:space="0" w:color="auto"/>
            <w:bottom w:val="none" w:sz="0" w:space="0" w:color="auto"/>
            <w:right w:val="none" w:sz="0" w:space="0" w:color="auto"/>
          </w:divBdr>
        </w:div>
      </w:divsChild>
    </w:div>
    <w:div w:id="85060934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04043322">
      <w:bodyDiv w:val="1"/>
      <w:marLeft w:val="0"/>
      <w:marRight w:val="0"/>
      <w:marTop w:val="0"/>
      <w:marBottom w:val="0"/>
      <w:divBdr>
        <w:top w:val="none" w:sz="0" w:space="0" w:color="auto"/>
        <w:left w:val="none" w:sz="0" w:space="0" w:color="auto"/>
        <w:bottom w:val="none" w:sz="0" w:space="0" w:color="auto"/>
        <w:right w:val="none" w:sz="0" w:space="0" w:color="auto"/>
      </w:divBdr>
      <w:divsChild>
        <w:div w:id="113911361">
          <w:marLeft w:val="547"/>
          <w:marRight w:val="0"/>
          <w:marTop w:val="120"/>
          <w:marBottom w:val="0"/>
          <w:divBdr>
            <w:top w:val="none" w:sz="0" w:space="0" w:color="auto"/>
            <w:left w:val="none" w:sz="0" w:space="0" w:color="auto"/>
            <w:bottom w:val="none" w:sz="0" w:space="0" w:color="auto"/>
            <w:right w:val="none" w:sz="0" w:space="0" w:color="auto"/>
          </w:divBdr>
        </w:div>
        <w:div w:id="71122822">
          <w:marLeft w:val="1166"/>
          <w:marRight w:val="0"/>
          <w:marTop w:val="106"/>
          <w:marBottom w:val="0"/>
          <w:divBdr>
            <w:top w:val="none" w:sz="0" w:space="0" w:color="auto"/>
            <w:left w:val="none" w:sz="0" w:space="0" w:color="auto"/>
            <w:bottom w:val="none" w:sz="0" w:space="0" w:color="auto"/>
            <w:right w:val="none" w:sz="0" w:space="0" w:color="auto"/>
          </w:divBdr>
        </w:div>
        <w:div w:id="1769959695">
          <w:marLeft w:val="547"/>
          <w:marRight w:val="0"/>
          <w:marTop w:val="120"/>
          <w:marBottom w:val="0"/>
          <w:divBdr>
            <w:top w:val="none" w:sz="0" w:space="0" w:color="auto"/>
            <w:left w:val="none" w:sz="0" w:space="0" w:color="auto"/>
            <w:bottom w:val="none" w:sz="0" w:space="0" w:color="auto"/>
            <w:right w:val="none" w:sz="0" w:space="0" w:color="auto"/>
          </w:divBdr>
        </w:div>
        <w:div w:id="646859704">
          <w:marLeft w:val="547"/>
          <w:marRight w:val="0"/>
          <w:marTop w:val="120"/>
          <w:marBottom w:val="0"/>
          <w:divBdr>
            <w:top w:val="none" w:sz="0" w:space="0" w:color="auto"/>
            <w:left w:val="none" w:sz="0" w:space="0" w:color="auto"/>
            <w:bottom w:val="none" w:sz="0" w:space="0" w:color="auto"/>
            <w:right w:val="none" w:sz="0" w:space="0" w:color="auto"/>
          </w:divBdr>
        </w:div>
        <w:div w:id="1347830006">
          <w:marLeft w:val="1166"/>
          <w:marRight w:val="0"/>
          <w:marTop w:val="106"/>
          <w:marBottom w:val="0"/>
          <w:divBdr>
            <w:top w:val="none" w:sz="0" w:space="0" w:color="auto"/>
            <w:left w:val="none" w:sz="0" w:space="0" w:color="auto"/>
            <w:bottom w:val="none" w:sz="0" w:space="0" w:color="auto"/>
            <w:right w:val="none" w:sz="0" w:space="0" w:color="auto"/>
          </w:divBdr>
        </w:div>
        <w:div w:id="1485201463">
          <w:marLeft w:val="547"/>
          <w:marRight w:val="0"/>
          <w:marTop w:val="120"/>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89238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5\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33</TotalTime>
  <Pages>4</Pages>
  <Words>1237</Words>
  <Characters>7051</Characters>
  <Application>Microsoft Office Word</Application>
  <DocSecurity>0</DocSecurity>
  <Lines>58</Lines>
  <Paragraphs>16</Paragraphs>
  <ScaleCrop>false</ScaleCrop>
  <Company>Huawei Technologies Co.,Ltd.</Company>
  <LinksUpToDate>false</LinksUpToDate>
  <CharactersWithSpaces>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2020-05-15T09:04:00Z</dcterms:created>
  <dcterms:modified xsi:type="dcterms:W3CDTF">2020-05-15T14:34:00Z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(3)U2ZL2jsr5lPtiSizhK4UYNebSdM5HAgcV1m820zU6LMTxwrhnUXNPeghM/OWt3/DHcTmmakp
02v16kb2rL8Uk0juAI5GZmOn4gJMP2MGJH/Tup8w0vYPKY4OtfwXvZ5wR7X9lPGdCcoZTDR0
axnzR4HiIqifvvyX8fYZcR3Y0p3x1Bdb8lECi8SL2eGn3dq1FB3JRmeABFl6eDfuqxEezTQ8
TwYbeA7YZ/vyXQMNrZ</vt:lpwstr>
  </property>
  <property fmtid="{D5CDD505-2E9C-101B-9397-08002B2CF9AE}" pid="3" name="_2015_ms_pID_7253431">
    <vt:lpwstr>nQBBq6049tSk8AqbfW+AfZesGG6j9JAvzTnh3/b+NZAqsycKyVnNRy
2RsBoDU3Hxu6492xNvHHLoYywM3DAn4LlsSb2p6Ms5uYd4EM5kFt0Oq6U7IE1C2VV8MGYUuO
WZUc7FnefHeeAvcUI2+YU0wm0kz5E13z3HvtVAH08HPnmtxjftY0iNydn14SN+0fuQG777Un
0qTMOtFoPa80kAJwtonjWy2LUZWZR0NIlcQt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2SeH9kHdAVz0r8XiGqRUqKA=</vt:lpwstr>
  </property>
</Properties>
</file>